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暗流防范培训教材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t>文档编号</w:t>
            </w:r>
          </w:p>
        </w:tc>
        <w:tc>
          <w:tcPr>
            <w:tcW w:type="dxa" w:w="6480"/>
          </w:tcPr>
          <w:p>
            <w:r>
              <w:t>SEC-2024-009</w:t>
            </w:r>
          </w:p>
        </w:tc>
      </w:tr>
      <w:tr>
        <w:tc>
          <w:tcPr>
            <w:tcW w:type="dxa" w:w="2160"/>
          </w:tcPr>
          <w:p>
            <w:r>
              <w:t>版本号</w:t>
            </w:r>
          </w:p>
        </w:tc>
        <w:tc>
          <w:tcPr>
            <w:tcW w:type="dxa" w:w="6480"/>
          </w:tcPr>
          <w:p>
            <w:r>
              <w:t>V2.3</w:t>
            </w:r>
          </w:p>
        </w:tc>
      </w:tr>
      <w:tr>
        <w:tc>
          <w:tcPr>
            <w:tcW w:type="dxa" w:w="2160"/>
          </w:tcPr>
          <w:p>
            <w:r>
              <w:t>生效日期</w:t>
            </w:r>
          </w:p>
        </w:tc>
        <w:tc>
          <w:tcPr>
            <w:tcW w:type="dxa" w:w="6480"/>
          </w:tcPr>
          <w:p>
            <w:r>
              <w:t>2024年11月15日</w:t>
            </w:r>
          </w:p>
        </w:tc>
      </w:tr>
      <w:tr>
        <w:tc>
          <w:tcPr>
            <w:tcW w:type="dxa" w:w="2160"/>
          </w:tcPr>
          <w:p>
            <w:r>
              <w:t>编制部门</w:t>
            </w:r>
          </w:p>
        </w:tc>
        <w:tc>
          <w:tcPr>
            <w:tcW w:type="dxa" w:w="6480"/>
          </w:tcPr>
          <w:p>
            <w:r>
              <w:t>渡鸦安全委员会</w:t>
            </w:r>
          </w:p>
        </w:tc>
      </w:tr>
      <w:tr>
        <w:tc>
          <w:tcPr>
            <w:tcW w:type="dxa" w:w="2160"/>
          </w:tcPr>
          <w:p>
            <w:r>
              <w:t>培训对象</w:t>
            </w:r>
          </w:p>
        </w:tc>
        <w:tc>
          <w:tcPr>
            <w:tcW w:type="dxa" w:w="6480"/>
          </w:tcPr>
          <w:p>
            <w:r>
              <w:t>全体从业人员</w:t>
            </w:r>
          </w:p>
        </w:tc>
      </w:tr>
    </w:tbl>
    <w:p/>
    <w:p>
      <w:pPr>
        <w:pStyle w:val="Heading2"/>
      </w:pPr>
      <w:r>
        <w:t>第一章 暗流概述</w:t>
      </w:r>
    </w:p>
    <w:p>
      <w:r>
        <w:t>暗流是指不经过旋涡协议的非法哈基米传输行为。暗流绕过了正常的监测和审计机制，是哈基米行业面临的最严重安全威胁之一。暗流可能导致账房系统数据失真、清浊比异常波动，甚至引发谐振腔过载坍缩。</w:t>
      </w:r>
    </w:p>
    <w:p>
      <w:pPr>
        <w:pStyle w:val="Heading2"/>
      </w:pPr>
      <w:r>
        <w:t>第二章 暗流特征</w:t>
      </w:r>
    </w:p>
    <w:p>
      <w:r>
        <w:t>暗流的典型特征包括：传输路径未登记在案、哈基米收支不平衡、嗡鸣度出现无法解释的波动、回音壁监测数据与账房记录不符。暗流常借助隐身衣技术规避检测，使传输行为在常规回音壁监测中近乎不可见，但账房与照妖镜仍可交叉发现。渡鸦团队通过溯光技术追踪异常哈基米流向，识别潜在的暗流活动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暗流类型</w:t>
            </w:r>
          </w:p>
        </w:tc>
        <w:tc>
          <w:tcPr>
            <w:tcW w:type="dxa" w:w="2880"/>
          </w:tcPr>
          <w:p>
            <w:r>
              <w:t>检测难度</w:t>
            </w:r>
          </w:p>
        </w:tc>
        <w:tc>
          <w:tcPr>
            <w:tcW w:type="dxa" w:w="2880"/>
          </w:tcPr>
          <w:p>
            <w:r>
              <w:t>典型手段</w:t>
            </w:r>
          </w:p>
        </w:tc>
      </w:tr>
      <w:tr>
        <w:tc>
          <w:tcPr>
            <w:tcW w:type="dxa" w:w="2880"/>
          </w:tcPr>
          <w:p>
            <w:r>
              <w:t>微型暗流</w:t>
            </w:r>
          </w:p>
        </w:tc>
        <w:tc>
          <w:tcPr>
            <w:tcW w:type="dxa" w:w="2880"/>
          </w:tcPr>
          <w:p>
            <w:r>
              <w:t>极高</w:t>
            </w:r>
          </w:p>
        </w:tc>
        <w:tc>
          <w:tcPr>
            <w:tcW w:type="dxa" w:w="2880"/>
          </w:tcPr>
          <w:p>
            <w:r>
              <w:t>微量多次传输</w:t>
            </w:r>
          </w:p>
        </w:tc>
      </w:tr>
      <w:tr>
        <w:tc>
          <w:tcPr>
            <w:tcW w:type="dxa" w:w="2880"/>
          </w:tcPr>
          <w:p>
            <w:r>
              <w:t>伪装暗流</w:t>
            </w:r>
          </w:p>
        </w:tc>
        <w:tc>
          <w:tcPr>
            <w:tcW w:type="dxa" w:w="2880"/>
          </w:tcPr>
          <w:p>
            <w:r>
              <w:t>高</w:t>
            </w:r>
          </w:p>
        </w:tc>
        <w:tc>
          <w:tcPr>
            <w:tcW w:type="dxa" w:w="2880"/>
          </w:tcPr>
          <w:p>
            <w:r>
              <w:t>模拟正常交易模式</w:t>
            </w:r>
          </w:p>
        </w:tc>
      </w:tr>
      <w:tr>
        <w:tc>
          <w:tcPr>
            <w:tcW w:type="dxa" w:w="2880"/>
          </w:tcPr>
          <w:p>
            <w:r>
              <w:t>影子暗流</w:t>
            </w:r>
          </w:p>
        </w:tc>
        <w:tc>
          <w:tcPr>
            <w:tcW w:type="dxa" w:w="2880"/>
          </w:tcPr>
          <w:p>
            <w:r>
              <w:t>高</w:t>
            </w:r>
          </w:p>
        </w:tc>
        <w:tc>
          <w:tcPr>
            <w:tcW w:type="dxa" w:w="2880"/>
          </w:tcPr>
          <w:p>
            <w:r>
              <w:t>利用影子系统传输</w:t>
            </w:r>
          </w:p>
        </w:tc>
      </w:tr>
      <w:tr>
        <w:tc>
          <w:tcPr>
            <w:tcW w:type="dxa" w:w="2880"/>
          </w:tcPr>
          <w:p>
            <w:r>
              <w:t>协同暗流</w:t>
            </w:r>
          </w:p>
        </w:tc>
        <w:tc>
          <w:tcPr>
            <w:tcW w:type="dxa" w:w="2880"/>
          </w:tcPr>
          <w:p>
            <w:r>
              <w:t>中</w:t>
            </w:r>
          </w:p>
        </w:tc>
        <w:tc>
          <w:tcPr>
            <w:tcW w:type="dxa" w:w="2880"/>
          </w:tcPr>
          <w:p>
            <w:r>
              <w:t>多节点配合绕开监测</w:t>
            </w:r>
          </w:p>
        </w:tc>
      </w:tr>
    </w:tbl>
    <w:p/>
    <w:p>
      <w:pPr>
        <w:pStyle w:val="Heading2"/>
      </w:pPr>
      <w:r>
        <w:t>第三章 检测技术</w:t>
      </w:r>
    </w:p>
    <w:p>
      <w:pPr>
        <w:pStyle w:val="Heading3"/>
      </w:pPr>
      <w:r>
        <w:t>3.1 溯光追踪</w:t>
      </w:r>
    </w:p>
    <w:p>
      <w:r>
        <w:t>溯光是追踪哈基米来源的核心技术。每批哈基米在晶格化时都会注入唯一标识，溯光技术可逆向追踪哈基米的完整流转路径。账房系统定期执行溯光分析，比对实际路径与登记路径的一致性，发现偏差即触发暗流调查。</w:t>
      </w:r>
    </w:p>
    <w:p>
      <w:pPr>
        <w:pStyle w:val="Heading3"/>
      </w:pPr>
      <w:r>
        <w:t>3.2 照妖镜检测</w:t>
      </w:r>
    </w:p>
    <w:p>
      <w:r>
        <w:t>照妖镜是专门用于检测幽灵读数的工具，可同时识别隐身衣伪装的暗流活动。照妖镜通过多维度嗡鸣度分析，揭示被掩盖的传输行为。渡鸦团队每季度对全部谐振腔进行一次照妖镜扫描。</w:t>
      </w:r>
    </w:p>
    <w:p>
      <w:pPr>
        <w:pStyle w:val="Heading3"/>
      </w:pPr>
      <w:r>
        <w:t>3.3 账房审计</w:t>
      </w:r>
    </w:p>
    <w:p>
      <w:r>
        <w:t>账房系统是检测暗流的重要防线。通过对比哈基米收支记录，发现无法解释的差额。账房系统每日自动生成差额报告，差额超过0.5%即触发渡鸦调查。影子系统作为不记录在案的备用系统，是暗流的高发区域，须重点监控。</w:t>
      </w:r>
    </w:p>
    <w:p>
      <w:pPr>
        <w:pStyle w:val="Heading2"/>
      </w:pPr>
      <w:r>
        <w:t>第四章 三振法则</w:t>
      </w:r>
    </w:p>
    <w:p>
      <w:r>
        <w:t>三振法则是暗流防范的核心纪律。连续三次发现异常行为的个人、团队或谐振腔，将被立即隔离并接受全面审查。看门狗监控进程自动执行三振法则，无需人工干预。被隔离对象须在7天内提交书面说明，渡鸦团队在14天内完成调查并给出处理意见。</w:t>
      </w:r>
    </w:p>
    <w:p>
      <w:pPr>
        <w:pStyle w:val="Heading2"/>
      </w:pPr>
      <w:r>
        <w:t>第五章 应急响应</w:t>
      </w:r>
    </w:p>
    <w:p>
      <w:r>
        <w:t>确认暗流活动后，立即启动应急响应：锁龙井锁定涉及的谐振腔，暂停全部旋涡协议传输，渡鸦团队进场调查，账房系统冻结相关账户。暗流事件须在24小时内上报祭司团，48小时内提交初步调查报告。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5C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2E5C8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