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微软雅黑"/>
          <w:b/>
          <w:color w:val="006400"/>
          <w:sz w:val="52"/>
        </w:rPr>
        <w:t>祭司团架构设计规范</w:t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28"/>
        </w:rPr>
        <w:t>哈基米行业系统架构标准 v3.0</w:t>
      </w:r>
    </w:p>
    <w:p/>
    <w:p>
      <w:pPr>
        <w:jc w:val="center"/>
      </w:pPr>
      <w:r>
        <w:rPr>
          <w:rFonts w:ascii="Calibri" w:hAnsi="Calibri" w:eastAsia="微软雅黑"/>
          <w:b w:val="0"/>
          <w:color w:val="666666"/>
          <w:sz w:val="22"/>
        </w:rPr>
        <w:t>编制：祭司团架构组</w:t>
        <w:br/>
        <w:t>评审：通天塔管理团队</w:t>
        <w:br/>
        <w:t>生效：2026年4月15日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1. 概述</w:t>
      </w:r>
    </w:p>
    <w:p>
      <w:r>
        <w:rPr>
          <w:rFonts w:ascii="Calibri" w:hAnsi="Calibri" w:eastAsia="微软雅黑"/>
          <w:b w:val="0"/>
          <w:sz w:val="22"/>
        </w:rPr>
        <w:t>本规范定义了哈基米行业系统架构的设计原则、组件规范和交互协议。所有新建系统必须遵循本规范，现有系统的重大变更需通过祭司团评审。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2. 架构原则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所有哈基米传输必须通过旋涡协议，禁止暗流（非法传输）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关键组件必须具备热备份，支持无缝切换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嗡鸣度监控全覆盖，消除回音壁盲区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安全弦作为运行边界，红线作为不可逾越的绝对限制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所有操作可审计，通过账房系统留痕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3. 核心组件规范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3.1 旋涡协议</w:t>
      </w:r>
    </w:p>
    <w:p>
      <w:r>
        <w:rPr>
          <w:rFonts w:ascii="Calibri" w:hAnsi="Calibri" w:eastAsia="微软雅黑"/>
          <w:b w:val="0"/>
          <w:sz w:val="22"/>
        </w:rPr>
        <w:t>旋涡协议是哈基米传输的标准协议，所有合法的哈基米传输必须遵循此协议。协议要求：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传输前建立双向认证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传输过程中持续验证哈基米纯度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传输完成后生成溯光追踪记录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异常传输自动标记并通知渡鸦安全团队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3.2 千机匣自动化控制</w:t>
      </w:r>
    </w:p>
    <w:p>
      <w:r>
        <w:rPr>
          <w:rFonts w:ascii="Calibri" w:hAnsi="Calibri" w:eastAsia="微软雅黑"/>
          <w:b w:val="0"/>
          <w:sz w:val="22"/>
        </w:rPr>
        <w:t>千机匣是自动化控制系统，负责：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晨祷/晚课定时任务调度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换羽/换骨维护流程自动化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谐振腔状态监控与告警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与通天塔控制台的指令交互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3.3 织网架构</w:t>
      </w:r>
    </w:p>
    <w:p>
      <w:r>
        <w:rPr>
          <w:rFonts w:ascii="Calibri" w:hAnsi="Calibri" w:eastAsia="微软雅黑"/>
          <w:b w:val="0"/>
          <w:sz w:val="22"/>
        </w:rPr>
        <w:t>织网是建立多个谐振腔之间连接的标准方法：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层级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组件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核心层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通天塔控制台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集中管理，统一调度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传输层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谐振腔 + 驿站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哈基米传输与缓冲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监控层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回音壁 + 信使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状态采集与通知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隔离层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分水岭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安全边界，防止污染扩散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sz w:val="32"/>
        </w:rPr>
        <w:t>4. 时间同步规范</w:t>
      </w:r>
    </w:p>
    <w:p>
      <w:r>
        <w:rPr>
          <w:rFonts w:ascii="Calibri" w:hAnsi="Calibri" w:eastAsia="微软雅黑"/>
          <w:b w:val="0"/>
          <w:sz w:val="22"/>
        </w:rPr>
        <w:t>对钟是校准时间同步的关键流程，确保全系统时间一致性：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所有节点每 5 分钟执行一次对钟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时间偏差超过 30 秒触发告警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对钟失败时启用本地时钟并标记为'不可信'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账房拒绝时间偏差过大的操作请求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5. 叠韵配置规范</w:t>
      </w:r>
    </w:p>
    <w:p>
      <w:r>
        <w:rPr>
          <w:rFonts w:ascii="Calibri" w:hAnsi="Calibri" w:eastAsia="微软雅黑"/>
          <w:b w:val="0"/>
          <w:sz w:val="22"/>
        </w:rPr>
        <w:t>叠韵是将多个谐振腔调至相同频率的技术，用于提升传输效率和系统稳定性：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场景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腔体数量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频率容差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安全弦约束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标准叠韵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2-4 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±0.5Hz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嗡鸣度差 &lt; 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大规模叠韵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5-10 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±1.0Hz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嗡鸣度差 &lt; 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紧急叠韵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不限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±2.0Hz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嗡鸣度差 &lt; 8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叠韵验证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全部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±0.1Hz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嗡鸣度差 &lt; 1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sz w:val="32"/>
        </w:rPr>
        <w:t>6. 信使通信规范</w:t>
      </w:r>
    </w:p>
    <w:p>
      <w:r>
        <w:rPr>
          <w:rFonts w:ascii="Calibri" w:hAnsi="Calibri" w:eastAsia="微软雅黑"/>
          <w:b w:val="0"/>
          <w:sz w:val="22"/>
        </w:rPr>
        <w:t>信使是传递状态信息的进程，负责在各组件间传递通知和指令：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消息传递延迟 &lt; 100ms（内部）/&lt; 500ms（跨节点）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消息必须携带溯光追踪标识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重要消息需确认回执，超时 3 次重发后升级告警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信使消息需通过分水岭安全网关过滤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