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系统健康度评分标准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t>文档编号</w:t>
            </w:r>
          </w:p>
        </w:tc>
        <w:tc>
          <w:tcPr>
            <w:tcW w:type="dxa" w:w="6480"/>
          </w:tcPr>
          <w:p>
            <w:r>
              <w:t>HP-2024-012</w:t>
            </w:r>
          </w:p>
        </w:tc>
      </w:tr>
      <w:tr>
        <w:tc>
          <w:tcPr>
            <w:tcW w:type="dxa" w:w="2160"/>
          </w:tcPr>
          <w:p>
            <w:r>
              <w:t>版本号</w:t>
            </w:r>
          </w:p>
        </w:tc>
        <w:tc>
          <w:tcPr>
            <w:tcW w:type="dxa" w:w="6480"/>
          </w:tcPr>
          <w:p>
            <w:r>
              <w:t>V4.0</w:t>
            </w:r>
          </w:p>
        </w:tc>
      </w:tr>
      <w:tr>
        <w:tc>
          <w:tcPr>
            <w:tcW w:type="dxa" w:w="2160"/>
          </w:tcPr>
          <w:p>
            <w:r>
              <w:t>生效日期</w:t>
            </w:r>
          </w:p>
        </w:tc>
        <w:tc>
          <w:tcPr>
            <w:tcW w:type="dxa" w:w="6480"/>
          </w:tcPr>
          <w:p>
            <w:r>
              <w:t>2024年10月15日</w:t>
            </w:r>
          </w:p>
        </w:tc>
      </w:tr>
      <w:tr>
        <w:tc>
          <w:tcPr>
            <w:tcW w:type="dxa" w:w="2160"/>
          </w:tcPr>
          <w:p>
            <w:r>
              <w:t>编制部门</w:t>
            </w:r>
          </w:p>
        </w:tc>
        <w:tc>
          <w:tcPr>
            <w:tcW w:type="dxa" w:w="6480"/>
          </w:tcPr>
          <w:p>
            <w:r>
              <w:t>祭司团系统评估委员会</w:t>
            </w:r>
          </w:p>
        </w:tc>
      </w:tr>
      <w:tr>
        <w:tc>
          <w:tcPr>
            <w:tcW w:type="dxa" w:w="2160"/>
          </w:tcPr>
          <w:p>
            <w:r>
              <w:t>评分周期</w:t>
            </w:r>
          </w:p>
        </w:tc>
        <w:tc>
          <w:tcPr>
            <w:tcW w:type="dxa" w:w="6480"/>
          </w:tcPr>
          <w:p>
            <w:r>
              <w:t>月度</w:t>
            </w:r>
          </w:p>
        </w:tc>
      </w:tr>
    </w:tbl>
    <w:p/>
    <w:p>
      <w:pPr>
        <w:pStyle w:val="Heading2"/>
      </w:pPr>
      <w:r>
        <w:t>一、评分体系概述</w:t>
      </w:r>
    </w:p>
    <w:p>
      <w:r>
        <w:t>系统健康度评分是衡量哈基米系统整体运行状态的量化工具，满分100分。评分基于六大维度：清浊比、嗡鸣度、饱和度、散斑控制、监测覆盖和稳定性。评分结果直接影响谐振腔评级和运维资源分配。回音壁提供嗡鸣度和底噪数据，留声机存储历史趋势用于评分计算。</w:t>
      </w:r>
    </w:p>
    <w:p>
      <w:pPr>
        <w:pStyle w:val="Heading2"/>
      </w:pPr>
      <w:r>
        <w:t>二、评分维度与权重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评分维度</w:t>
            </w:r>
          </w:p>
        </w:tc>
        <w:tc>
          <w:tcPr>
            <w:tcW w:type="dxa" w:w="2160"/>
          </w:tcPr>
          <w:p>
            <w:r>
              <w:t>权重</w:t>
            </w:r>
          </w:p>
        </w:tc>
        <w:tc>
          <w:tcPr>
            <w:tcW w:type="dxa" w:w="2160"/>
          </w:tcPr>
          <w:p>
            <w:r>
              <w:t>数据来源</w:t>
            </w:r>
          </w:p>
        </w:tc>
        <w:tc>
          <w:tcPr>
            <w:tcW w:type="dxa" w:w="2160"/>
          </w:tcPr>
          <w:p>
            <w:r>
              <w:t>评分周期</w:t>
            </w:r>
          </w:p>
        </w:tc>
      </w:tr>
      <w:tr>
        <w:tc>
          <w:tcPr>
            <w:tcW w:type="dxa" w:w="2160"/>
          </w:tcPr>
          <w:p>
            <w:r>
              <w:t>清浊比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账房+质量检测</w:t>
            </w:r>
          </w:p>
        </w:tc>
        <w:tc>
          <w:tcPr>
            <w:tcW w:type="dxa" w:w="2160"/>
          </w:tcPr>
          <w:p>
            <w:r>
              <w:t>每日</w:t>
            </w:r>
          </w:p>
        </w:tc>
      </w:tr>
      <w:tr>
        <w:tc>
          <w:tcPr>
            <w:tcW w:type="dxa" w:w="2160"/>
          </w:tcPr>
          <w:p>
            <w:r>
              <w:t>嗡鸣度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回音壁</w:t>
            </w:r>
          </w:p>
        </w:tc>
        <w:tc>
          <w:tcPr>
            <w:tcW w:type="dxa" w:w="2160"/>
          </w:tcPr>
          <w:p>
            <w:r>
              <w:t>实时</w:t>
            </w:r>
          </w:p>
        </w:tc>
      </w:tr>
      <w:tr>
        <w:tc>
          <w:tcPr>
            <w:tcW w:type="dxa" w:w="2160"/>
          </w:tcPr>
          <w:p>
            <w:r>
              <w:t>饱和度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千机匣</w:t>
            </w:r>
          </w:p>
        </w:tc>
        <w:tc>
          <w:tcPr>
            <w:tcW w:type="dxa" w:w="2160"/>
          </w:tcPr>
          <w:p>
            <w:r>
              <w:t>实时</w:t>
            </w:r>
          </w:p>
        </w:tc>
      </w:tr>
      <w:tr>
        <w:tc>
          <w:tcPr>
            <w:tcW w:type="dxa" w:w="2160"/>
          </w:tcPr>
          <w:p>
            <w:r>
              <w:t>散斑控制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照骨灯+清道夫</w:t>
            </w:r>
          </w:p>
        </w:tc>
        <w:tc>
          <w:tcPr>
            <w:tcW w:type="dxa" w:w="2160"/>
          </w:tcPr>
          <w:p>
            <w:r>
              <w:t>每周</w:t>
            </w:r>
          </w:p>
        </w:tc>
      </w:tr>
      <w:tr>
        <w:tc>
          <w:tcPr>
            <w:tcW w:type="dxa" w:w="2160"/>
          </w:tcPr>
          <w:p>
            <w:r>
              <w:t>监测覆盖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回音壁拓扑</w:t>
            </w:r>
          </w:p>
        </w:tc>
        <w:tc>
          <w:tcPr>
            <w:tcW w:type="dxa" w:w="2160"/>
          </w:tcPr>
          <w:p>
            <w:r>
              <w:t>每月</w:t>
            </w:r>
          </w:p>
        </w:tc>
      </w:tr>
      <w:tr>
        <w:tc>
          <w:tcPr>
            <w:tcW w:type="dxa" w:w="2160"/>
          </w:tcPr>
          <w:p>
            <w:r>
              <w:t>稳定性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留声机历史</w:t>
            </w:r>
          </w:p>
        </w:tc>
        <w:tc>
          <w:tcPr>
            <w:tcW w:type="dxa" w:w="2160"/>
          </w:tcPr>
          <w:p>
            <w:r>
              <w:t>每月</w:t>
            </w:r>
          </w:p>
        </w:tc>
      </w:tr>
    </w:tbl>
    <w:p/>
    <w:p>
      <w:pPr>
        <w:pStyle w:val="Heading2"/>
      </w:pPr>
      <w:r>
        <w:t>三、清浊比评分细则</w:t>
      </w:r>
    </w:p>
    <w:p>
      <w:r>
        <w:t>清浊比是评分权重最高的维度。月度平均清浊比≥19.0得满分25分，9.0-19.0得20-24分，5.6-9.0得15-19分，低于5.6得10-14分，低于5.6得0分。清浊比单日低于5.6扣5分，低于5.6扣10分。连续三天低于5.6，该项直接计0分。</w:t>
      </w:r>
    </w:p>
    <w:p>
      <w:pPr>
        <w:pStyle w:val="Heading2"/>
      </w:pPr>
      <w:r>
        <w:t>四、嗡鸣度评分细则</w:t>
      </w:r>
    </w:p>
    <w:p>
      <w:r>
        <w:t>嗡鸣度评分考察嗡鸣度在共振峰区间内的时间占比。占比≥98%得满分20分，95%-98%得16-19分，90%-95%得12-15分，85%-90%得8-11分，低于85%得0分。底噪水平也纳入评估，底噪异常升高每超过5%扣2分。毛刺次数超过10次/日，每次扣1分。</w:t>
      </w:r>
    </w:p>
    <w:p>
      <w:pPr>
        <w:pStyle w:val="Heading2"/>
      </w:pPr>
      <w:r>
        <w:t>五、监测覆盖评分细则</w:t>
      </w:r>
    </w:p>
    <w:p>
      <w:r>
        <w:t>监测覆盖评分考察回音壁对系统的有效监测范围。盲区面积占总面积比例≤2%得满分15分，2%-5%得12-14分，5%-8%得9-11分，8%-10%得6-8分，超过10%得0分。盲区须标注明确编号和位置，未标注的盲区按双倍面积计算。</w:t>
      </w:r>
    </w:p>
    <w:p>
      <w:pPr>
        <w:pStyle w:val="Heading2"/>
      </w:pPr>
      <w:r>
        <w:t>六、稳定性评分细则</w:t>
      </w:r>
    </w:p>
    <w:p>
      <w:r>
        <w:t>稳定性评分基于留声机存储的历史数据，评估系统长期运行趋势。考察指标包括：峰谷差、嗡鸣度趋势、清浊比趋势。峰谷差在安全弦范围内得满分10分，超出安全弦每1%扣1分。嗡鸣度或清浊比出现持续劣化趋势，扣3-5分。</w:t>
      </w:r>
    </w:p>
    <w:p>
      <w:pPr>
        <w:pStyle w:val="Heading2"/>
      </w:pPr>
      <w:r>
        <w:t>七、健康等级划分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健康等级</w:t>
            </w:r>
          </w:p>
        </w:tc>
        <w:tc>
          <w:tcPr>
            <w:tcW w:type="dxa" w:w="2880"/>
          </w:tcPr>
          <w:p>
            <w:r>
              <w:t>分数区间</w:t>
            </w:r>
          </w:p>
        </w:tc>
        <w:tc>
          <w:tcPr>
            <w:tcW w:type="dxa" w:w="2880"/>
          </w:tcPr>
          <w:p>
            <w:r>
              <w:t>管理措施</w:t>
            </w:r>
          </w:p>
        </w:tc>
      </w:tr>
      <w:tr>
        <w:tc>
          <w:tcPr>
            <w:tcW w:type="dxa" w:w="2880"/>
          </w:tcPr>
          <w:p>
            <w:r>
              <w:t>健康(绿色)</w:t>
            </w:r>
          </w:p>
        </w:tc>
        <w:tc>
          <w:tcPr>
            <w:tcW w:type="dxa" w:w="2880"/>
          </w:tcPr>
          <w:p>
            <w:r>
              <w:t>≥85分</w:t>
            </w:r>
          </w:p>
        </w:tc>
        <w:tc>
          <w:tcPr>
            <w:tcW w:type="dxa" w:w="2880"/>
          </w:tcPr>
          <w:p>
            <w:r>
              <w:t>正常运行，常规维护</w:t>
            </w:r>
          </w:p>
        </w:tc>
      </w:tr>
      <w:tr>
        <w:tc>
          <w:tcPr>
            <w:tcW w:type="dxa" w:w="2880"/>
          </w:tcPr>
          <w:p>
            <w:r>
              <w:t>亚健康(黄色)</w:t>
            </w:r>
          </w:p>
        </w:tc>
        <w:tc>
          <w:tcPr>
            <w:tcW w:type="dxa" w:w="2880"/>
          </w:tcPr>
          <w:p>
            <w:r>
              <w:t>70-84分</w:t>
            </w:r>
          </w:p>
        </w:tc>
        <w:tc>
          <w:tcPr>
            <w:tcW w:type="dxa" w:w="2880"/>
          </w:tcPr>
          <w:p>
            <w:r>
              <w:t>加强监测，制定改进计划</w:t>
            </w:r>
          </w:p>
        </w:tc>
      </w:tr>
      <w:tr>
        <w:tc>
          <w:tcPr>
            <w:tcW w:type="dxa" w:w="2880"/>
          </w:tcPr>
          <w:p>
            <w:r>
              <w:t>警示(橙色)</w:t>
            </w:r>
          </w:p>
        </w:tc>
        <w:tc>
          <w:tcPr>
            <w:tcW w:type="dxa" w:w="2880"/>
          </w:tcPr>
          <w:p>
            <w:r>
              <w:t>55-69分</w:t>
            </w:r>
          </w:p>
        </w:tc>
        <w:tc>
          <w:tcPr>
            <w:tcW w:type="dxa" w:w="2880"/>
          </w:tcPr>
          <w:p>
            <w:r>
              <w:t>专项整改，增加巡检频次</w:t>
            </w:r>
          </w:p>
        </w:tc>
      </w:tr>
      <w:tr>
        <w:tc>
          <w:tcPr>
            <w:tcW w:type="dxa" w:w="2880"/>
          </w:tcPr>
          <w:p>
            <w:r>
              <w:t>危险(红色)</w:t>
            </w:r>
          </w:p>
        </w:tc>
        <w:tc>
          <w:tcPr>
            <w:tcW w:type="dxa" w:w="2880"/>
          </w:tcPr>
          <w:p>
            <w:r>
              <w:t>&lt;55分</w:t>
            </w:r>
          </w:p>
        </w:tc>
        <w:tc>
          <w:tcPr>
            <w:tcW w:type="dxa" w:w="2880"/>
          </w:tcPr>
          <w:p>
            <w:r>
              <w:t>立即整改，必要时停机检修</w:t>
            </w:r>
          </w:p>
        </w:tc>
      </w:tr>
    </w:tbl>
    <w:p/>
    <w:p>
      <w:pPr>
        <w:pStyle w:val="Heading2"/>
      </w:pPr>
      <w:r>
        <w:t>八、评分报告</w:t>
      </w:r>
    </w:p>
    <w:p>
      <w:r>
        <w:t>月度健康度评分报告由千机匣自动生成，祭司团审核后发布。评分报告包含：各维度得分明细、趋势分析、改进建议、与上月对比。连续两个月评为警示或危险等级的谐振腔，须提交专项整改报告并接受祭司团现场审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