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织网项目验收报告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项目编号</w:t>
            </w:r>
          </w:p>
        </w:tc>
        <w:tc>
          <w:tcPr>
            <w:tcW w:type="dxa" w:w="6480"/>
          </w:tcPr>
          <w:p>
            <w:r>
              <w:t>WN-2024-0372</w:t>
            </w:r>
          </w:p>
        </w:tc>
      </w:tr>
      <w:tr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6480"/>
          </w:tcPr>
          <w:p>
            <w:r>
              <w:t>第三谐振腔群织网工程</w:t>
            </w:r>
          </w:p>
        </w:tc>
      </w:tr>
      <w:tr>
        <w:tc>
          <w:tcPr>
            <w:tcW w:type="dxa" w:w="2160"/>
          </w:tcPr>
          <w:p>
            <w:r>
              <w:t>编制日期</w:t>
            </w:r>
          </w:p>
        </w:tc>
        <w:tc>
          <w:tcPr>
            <w:tcW w:type="dxa" w:w="6480"/>
          </w:tcPr>
          <w:p>
            <w:r>
              <w:t>2024年12月15日</w:t>
            </w:r>
          </w:p>
        </w:tc>
      </w:tr>
      <w:tr>
        <w:tc>
          <w:tcPr>
            <w:tcW w:type="dxa" w:w="2160"/>
          </w:tcPr>
          <w:p>
            <w:r>
              <w:t>编制单位</w:t>
            </w:r>
          </w:p>
        </w:tc>
        <w:tc>
          <w:tcPr>
            <w:tcW w:type="dxa" w:w="6480"/>
          </w:tcPr>
          <w:p>
            <w:r>
              <w:t>编织者联盟第七分部</w:t>
            </w:r>
          </w:p>
        </w:tc>
      </w:tr>
      <w:tr>
        <w:tc>
          <w:tcPr>
            <w:tcW w:type="dxa" w:w="2160"/>
          </w:tcPr>
          <w:p>
            <w:r>
              <w:t>密级</w:t>
            </w:r>
          </w:p>
        </w:tc>
        <w:tc>
          <w:tcPr>
            <w:tcW w:type="dxa" w:w="6480"/>
          </w:tcPr>
          <w:p>
            <w:r>
              <w:t>内部公开</w:t>
            </w:r>
          </w:p>
        </w:tc>
      </w:tr>
    </w:tbl>
    <w:p/>
    <w:p>
      <w:pPr>
        <w:pStyle w:val="Heading2"/>
      </w:pPr>
      <w:r>
        <w:t>一、项目概述</w:t>
      </w:r>
    </w:p>
    <w:p>
      <w:r>
        <w:t>本项目旨在完成第三谐振腔群的织网工作，通过标准化旋涡协议实现12个谐振腔之间的互联互通。项目历时45个工作日，由首席编织者王明远带领的15人团队执行。织网完成后，各谐振腔间哈基米传输效率提升230%，清浊比维持在0.92以上，达到验收标准。本次收网工作已于12月12日全面完成，所有节点均通过叠韵调试验证，频率偏差控制在±0.05Hz以内。</w:t>
      </w:r>
    </w:p>
    <w:p>
      <w:pPr>
        <w:pStyle w:val="Heading2"/>
      </w:pPr>
      <w:r>
        <w:t>二、验收指标</w:t>
      </w:r>
    </w:p>
    <w:p>
      <w:r>
        <w:t>验收采用量天尺进行全程测量，关键指标如下：各谐振腔嗡鸣度稳定在共振峰区间，回音壁监测覆盖率达到98.7%，盲区仅存两处已标注预警。清浊比验收标准为不低于5.6，实测平均值为9.0，优于预期。旋涡协议兼容性测试通过所有用例，数据传输零丢包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指标项</w:t>
            </w:r>
          </w:p>
        </w:tc>
        <w:tc>
          <w:tcPr>
            <w:tcW w:type="dxa" w:w="2160"/>
          </w:tcPr>
          <w:p>
            <w:r>
              <w:t>标准要求</w:t>
            </w:r>
          </w:p>
        </w:tc>
        <w:tc>
          <w:tcPr>
            <w:tcW w:type="dxa" w:w="2160"/>
          </w:tcPr>
          <w:p>
            <w:r>
              <w:t>实测值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清浊比</w:t>
            </w:r>
          </w:p>
        </w:tc>
        <w:tc>
          <w:tcPr>
            <w:tcW w:type="dxa" w:w="2160"/>
          </w:tcPr>
          <w:p>
            <w:r>
              <w:t>≥5.6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合格</w:t>
            </w:r>
          </w:p>
        </w:tc>
      </w:tr>
      <w:tr>
        <w:tc>
          <w:tcPr>
            <w:tcW w:type="dxa" w:w="2160"/>
          </w:tcPr>
          <w:p>
            <w:r>
              <w:t>嗡鸣度偏差</w:t>
            </w:r>
          </w:p>
        </w:tc>
        <w:tc>
          <w:tcPr>
            <w:tcW w:type="dxa" w:w="2160"/>
          </w:tcPr>
          <w:p>
            <w:r>
              <w:t>≤0.1Hz</w:t>
            </w:r>
          </w:p>
        </w:tc>
        <w:tc>
          <w:tcPr>
            <w:tcW w:type="dxa" w:w="2160"/>
          </w:tcPr>
          <w:p>
            <w:r>
              <w:t>0.04Hz</w:t>
            </w:r>
          </w:p>
        </w:tc>
        <w:tc>
          <w:tcPr>
            <w:tcW w:type="dxa" w:w="2160"/>
          </w:tcPr>
          <w:p>
            <w:r>
              <w:t>合格</w:t>
            </w:r>
          </w:p>
        </w:tc>
      </w:tr>
      <w:tr>
        <w:tc>
          <w:tcPr>
            <w:tcW w:type="dxa" w:w="2160"/>
          </w:tcPr>
          <w:p>
            <w:r>
              <w:t>传输延迟</w:t>
            </w:r>
          </w:p>
        </w:tc>
        <w:tc>
          <w:tcPr>
            <w:tcW w:type="dxa" w:w="2160"/>
          </w:tcPr>
          <w:p>
            <w:r>
              <w:t>≤50ms</w:t>
            </w:r>
          </w:p>
        </w:tc>
        <w:tc>
          <w:tcPr>
            <w:tcW w:type="dxa" w:w="2160"/>
          </w:tcPr>
          <w:p>
            <w:r>
              <w:t>32ms</w:t>
            </w:r>
          </w:p>
        </w:tc>
        <w:tc>
          <w:tcPr>
            <w:tcW w:type="dxa" w:w="2160"/>
          </w:tcPr>
          <w:p>
            <w:r>
              <w:t>合格</w:t>
            </w:r>
          </w:p>
        </w:tc>
      </w:tr>
      <w:tr>
        <w:tc>
          <w:tcPr>
            <w:tcW w:type="dxa" w:w="2160"/>
          </w:tcPr>
          <w:p>
            <w:r>
              <w:t>叠韵一致率</w:t>
            </w:r>
          </w:p>
        </w:tc>
        <w:tc>
          <w:tcPr>
            <w:tcW w:type="dxa" w:w="2160"/>
          </w:tcPr>
          <w:p>
            <w:r>
              <w:t>≥95%</w:t>
            </w:r>
          </w:p>
        </w:tc>
        <w:tc>
          <w:tcPr>
            <w:tcW w:type="dxa" w:w="2160"/>
          </w:tcPr>
          <w:p>
            <w:r>
              <w:t>98.2%</w:t>
            </w:r>
          </w:p>
        </w:tc>
        <w:tc>
          <w:tcPr>
            <w:tcW w:type="dxa" w:w="2160"/>
          </w:tcPr>
          <w:p>
            <w:r>
              <w:t>合格</w:t>
            </w:r>
          </w:p>
        </w:tc>
      </w:tr>
      <w:tr>
        <w:tc>
          <w:tcPr>
            <w:tcW w:type="dxa" w:w="2160"/>
          </w:tcPr>
          <w:p>
            <w:r>
              <w:t>回音壁覆盖率</w:t>
            </w:r>
          </w:p>
        </w:tc>
        <w:tc>
          <w:tcPr>
            <w:tcW w:type="dxa" w:w="2160"/>
          </w:tcPr>
          <w:p>
            <w:r>
              <w:t>≥95%</w:t>
            </w:r>
          </w:p>
        </w:tc>
        <w:tc>
          <w:tcPr>
            <w:tcW w:type="dxa" w:w="2160"/>
          </w:tcPr>
          <w:p>
            <w:r>
              <w:t>98.7%</w:t>
            </w:r>
          </w:p>
        </w:tc>
        <w:tc>
          <w:tcPr>
            <w:tcW w:type="dxa" w:w="2160"/>
          </w:tcPr>
          <w:p>
            <w:r>
              <w:t>合格</w:t>
            </w:r>
          </w:p>
        </w:tc>
      </w:tr>
    </w:tbl>
    <w:p/>
    <w:p>
      <w:pPr>
        <w:pStyle w:val="Heading2"/>
      </w:pPr>
      <w:r>
        <w:t>三、点睛参数记录</w:t>
      </w:r>
    </w:p>
    <w:p>
      <w:r>
        <w:t>点睛阶段注入的初始参数已归档至千机匣系统。核心参数包括：基础嗡鸣度设定值127.5Hz，旋涡协议版本v3.2.1，清浊比预警阈值9.0，谐振腔容量上限85%。所有参数经祭司团审核后生效。</w:t>
      </w:r>
    </w:p>
    <w:p>
      <w:pPr>
        <w:pStyle w:val="Heading2"/>
      </w:pPr>
      <w:r>
        <w:t>四、遗留问题</w:t>
      </w:r>
    </w:p>
    <w:p>
      <w:r>
        <w:t>本次验收发现两处回音壁盲区，编号B-07和B-11，位于腔群边缘地带。已部署临时监测点，计划在下一季度进行补盲。另外，3号谐振腔的镀层出现轻微晦暗，已安排铁匠团队进行换羽处理。</w:t>
      </w:r>
    </w:p>
    <w:p>
      <w:pPr>
        <w:pStyle w:val="Heading2"/>
      </w:pPr>
      <w:r>
        <w:t>五、验收结论</w:t>
      </w:r>
    </w:p>
    <w:p>
      <w:r>
        <w:t>综上所述，第三谐振腔群织网项目各项指标均达到或超过验收标准，同意通过验收。建议后续重点关注盲区补建和3号腔镀层维护。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