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谐振腔生命周期管理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t>文档编号</w:t>
            </w:r>
          </w:p>
        </w:tc>
        <w:tc>
          <w:tcPr>
            <w:tcW w:type="dxa" w:w="6480"/>
          </w:tcPr>
          <w:p>
            <w:r>
              <w:t>LC-2024-033</w:t>
            </w:r>
          </w:p>
        </w:tc>
      </w:tr>
      <w:tr>
        <w:tc>
          <w:tcPr>
            <w:tcW w:type="dxa" w:w="2160"/>
          </w:tcPr>
          <w:p>
            <w:r>
              <w:t>版本号</w:t>
            </w:r>
          </w:p>
        </w:tc>
        <w:tc>
          <w:tcPr>
            <w:tcW w:type="dxa" w:w="6480"/>
          </w:tcPr>
          <w:p>
            <w:r>
              <w:t>V3.5</w:t>
            </w:r>
          </w:p>
        </w:tc>
      </w:tr>
      <w:tr>
        <w:tc>
          <w:tcPr>
            <w:tcW w:type="dxa" w:w="2160"/>
          </w:tcPr>
          <w:p>
            <w:r>
              <w:t>生效日期</w:t>
            </w:r>
          </w:p>
        </w:tc>
        <w:tc>
          <w:tcPr>
            <w:tcW w:type="dxa" w:w="6480"/>
          </w:tcPr>
          <w:p>
            <w:r>
              <w:t>2024年08月15日</w:t>
            </w:r>
          </w:p>
        </w:tc>
      </w:tr>
      <w:tr>
        <w:tc>
          <w:tcPr>
            <w:tcW w:type="dxa" w:w="2160"/>
          </w:tcPr>
          <w:p>
            <w:r>
              <w:t>编制部门</w:t>
            </w:r>
          </w:p>
        </w:tc>
        <w:tc>
          <w:tcPr>
            <w:tcW w:type="dxa" w:w="6480"/>
          </w:tcPr>
          <w:p>
            <w:r>
              <w:t>铁匠工程委员会</w:t>
            </w:r>
          </w:p>
        </w:tc>
      </w:tr>
      <w:tr>
        <w:tc>
          <w:tcPr>
            <w:tcW w:type="dxa" w:w="2160"/>
          </w:tcPr>
          <w:p>
            <w:r>
              <w:t>适用对象</w:t>
            </w:r>
          </w:p>
        </w:tc>
        <w:tc>
          <w:tcPr>
            <w:tcW w:type="dxa" w:w="6480"/>
          </w:tcPr>
          <w:p>
            <w:r>
              <w:t>全部在用及备用谐振腔</w:t>
            </w:r>
          </w:p>
        </w:tc>
      </w:tr>
    </w:tbl>
    <w:p/>
    <w:p>
      <w:pPr>
        <w:pStyle w:val="Heading2"/>
      </w:pPr>
      <w:r>
        <w:t>一、生命周期阶段</w:t>
      </w:r>
    </w:p>
    <w:p>
      <w:r>
        <w:t>谐振腔的完整生命周期包括五个阶段：建设验收、开光启用、正常运行、维护更新、退役处置。开光启用阶段内部必须按“开光 -&gt; 试音 -&gt; 启明 -&gt; 试运行 -&gt; 正式运行”的顺序执行。每个阶段都有明确的管理要求和操作规范，饱和度等关键指标需按分层阈值持续管控。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生命周期阶段</w:t>
            </w:r>
          </w:p>
        </w:tc>
        <w:tc>
          <w:tcPr>
            <w:tcW w:type="dxa" w:w="2880"/>
          </w:tcPr>
          <w:p>
            <w:r>
              <w:t>典型时长</w:t>
            </w:r>
          </w:p>
        </w:tc>
        <w:tc>
          <w:tcPr>
            <w:tcW w:type="dxa" w:w="2880"/>
          </w:tcPr>
          <w:p>
            <w:r>
              <w:t>管理重点</w:t>
            </w:r>
          </w:p>
        </w:tc>
      </w:tr>
      <w:tr>
        <w:tc>
          <w:tcPr>
            <w:tcW w:type="dxa" w:w="2880"/>
          </w:tcPr>
          <w:p>
            <w:r>
              <w:t>建设验收</w:t>
            </w:r>
          </w:p>
        </w:tc>
        <w:tc>
          <w:tcPr>
            <w:tcW w:type="dxa" w:w="2880"/>
          </w:tcPr>
          <w:p>
            <w:r>
              <w:t>60-90天</w:t>
            </w:r>
          </w:p>
        </w:tc>
        <w:tc>
          <w:tcPr>
            <w:tcW w:type="dxa" w:w="2880"/>
          </w:tcPr>
          <w:p>
            <w:r>
              <w:t>结构检测、镀层验证</w:t>
            </w:r>
          </w:p>
        </w:tc>
      </w:tr>
      <w:tr>
        <w:tc>
          <w:tcPr>
            <w:tcW w:type="dxa" w:w="2880"/>
          </w:tcPr>
          <w:p>
            <w:r>
              <w:t>开光启用</w:t>
            </w:r>
          </w:p>
        </w:tc>
        <w:tc>
          <w:tcPr>
            <w:tcW w:type="dxa" w:w="2880"/>
          </w:tcPr>
          <w:p>
            <w:r>
              <w:t>1-3天</w:t>
            </w:r>
          </w:p>
        </w:tc>
        <w:tc>
          <w:tcPr>
            <w:tcW w:type="dxa" w:w="2880"/>
          </w:tcPr>
          <w:p>
            <w:r>
              <w:t>开光、试音、启明、试运行</w:t>
            </w:r>
          </w:p>
        </w:tc>
      </w:tr>
      <w:tr>
        <w:tc>
          <w:tcPr>
            <w:tcW w:type="dxa" w:w="2880"/>
          </w:tcPr>
          <w:p>
            <w:r>
              <w:t>正常运行</w:t>
            </w:r>
          </w:p>
        </w:tc>
        <w:tc>
          <w:tcPr>
            <w:tcW w:type="dxa" w:w="2880"/>
          </w:tcPr>
          <w:p>
            <w:r>
              <w:t>3-5年</w:t>
            </w:r>
          </w:p>
        </w:tc>
        <w:tc>
          <w:tcPr>
            <w:tcW w:type="dxa" w:w="2880"/>
          </w:tcPr>
          <w:p>
            <w:r>
              <w:t>日常维护、饱和度监控</w:t>
            </w:r>
          </w:p>
        </w:tc>
      </w:tr>
      <w:tr>
        <w:tc>
          <w:tcPr>
            <w:tcW w:type="dxa" w:w="2880"/>
          </w:tcPr>
          <w:p>
            <w:r>
              <w:t>维护更新</w:t>
            </w:r>
          </w:p>
        </w:tc>
        <w:tc>
          <w:tcPr>
            <w:tcW w:type="dxa" w:w="2880"/>
          </w:tcPr>
          <w:p>
            <w:r>
              <w:t>按需</w:t>
            </w:r>
          </w:p>
        </w:tc>
        <w:tc>
          <w:tcPr>
            <w:tcW w:type="dxa" w:w="2880"/>
          </w:tcPr>
          <w:p>
            <w:r>
              <w:t>换骨、换羽、洗髓</w:t>
            </w:r>
          </w:p>
        </w:tc>
      </w:tr>
      <w:tr>
        <w:tc>
          <w:tcPr>
            <w:tcW w:type="dxa" w:w="2880"/>
          </w:tcPr>
          <w:p>
            <w:r>
              <w:t>退役处置</w:t>
            </w:r>
          </w:p>
        </w:tc>
        <w:tc>
          <w:tcPr>
            <w:tcW w:type="dxa" w:w="2880"/>
          </w:tcPr>
          <w:p>
            <w:r>
              <w:t>7-14天</w:t>
            </w:r>
          </w:p>
        </w:tc>
        <w:tc>
          <w:tcPr>
            <w:tcW w:type="dxa" w:w="2880"/>
          </w:tcPr>
          <w:p>
            <w:r>
              <w:t>安全释放、金蝉脱壳</w:t>
            </w:r>
          </w:p>
        </w:tc>
      </w:tr>
    </w:tbl>
    <w:p/>
    <w:p>
      <w:pPr>
        <w:pStyle w:val="Heading2"/>
      </w:pPr>
      <w:r>
        <w:t>二、开光流程</w:t>
      </w:r>
    </w:p>
    <w:p>
      <w:r>
        <w:t>开光是新谐振腔首次启用的神圣仪式。开光前须完成全部建设验收项目，确认结构完好、镀层无缺陷。开光只建立初始联结，不直接进入正式运行；随后必须依次完成试音、启明、试运行，并在每一步通过校验后才能转入正式运行。试音阶段仅允许极小流量注入，启明阶段受控放量，试运行阶段验证稳定性。全部记录永久保存，作为谐振腔的出生证明。</w:t>
      </w:r>
    </w:p>
    <w:p>
      <w:pPr>
        <w:pStyle w:val="Heading2"/>
      </w:pPr>
      <w:r>
        <w:t>三、维护更新</w:t>
      </w:r>
    </w:p>
    <w:p>
      <w:pPr>
        <w:pStyle w:val="Heading3"/>
      </w:pPr>
      <w:r>
        <w:t>3.1 换骨</w:t>
      </w:r>
    </w:p>
    <w:p>
      <w:r>
        <w:t>换骨是更换谐振腔核心部件的深度维护操作，由铁匠团队执行。换骨周期通常为3年或运行10000小时后。换骨前须将谐振腔内哈基米全部转移，换骨完成后重新开光启用。换骨期间饱和度降为零。</w:t>
      </w:r>
    </w:p>
    <w:p>
      <w:pPr>
        <w:pStyle w:val="Heading3"/>
      </w:pPr>
      <w:r>
        <w:t>3.2 换羽</w:t>
      </w:r>
    </w:p>
    <w:p>
      <w:r>
        <w:t>换羽是定期更换镀层的维护操作，周期为180天（标准腔）或365天（大型腔）。使用照骨灯检测镀层状态，发现晦暗或溢彩消失应立即安排换羽。换羽前须先通过温存完成卸载，正式作业必须在静默态下执行，严禁带载作业。</w:t>
      </w:r>
    </w:p>
    <w:p>
      <w:pPr>
        <w:pStyle w:val="Heading3"/>
      </w:pPr>
      <w:r>
        <w:t>3.3 洗髓</w:t>
      </w:r>
    </w:p>
    <w:p>
      <w:r>
        <w:t>洗髓是深度清洁谐振腔内部的维护操作，每年至少执行一次。洗髓可去除积累的微量散斑，恢复谐振腔内部纯净度。洗髓完成后须重新进行试音确认。</w:t>
      </w:r>
    </w:p>
    <w:p>
      <w:pPr>
        <w:pStyle w:val="Heading2"/>
      </w:pPr>
      <w:r>
        <w:t>四、坍缩与退役</w:t>
      </w:r>
    </w:p>
    <w:p>
      <w:r>
        <w:t>谐振腔坍缩是灾难性失效事件，可能导致哈基米大量泄漏和散斑污染。坍缩后的谐振腔须经铁匠团队评估，确定是否可修复。无法修复的谐振腔进入退役流程。退役时采用金蝉脱壳技术，将有效数据无损迁移至新谐振腔，确保业务连续性。金蝉脱壳完成后，原谐振腔进行安全释放并拆除。</w:t>
      </w:r>
    </w:p>
    <w:p>
      <w:pPr>
        <w:pStyle w:val="Heading2"/>
      </w:pPr>
      <w:r>
        <w:t>五、饱和度管理</w:t>
      </w:r>
    </w:p>
    <w:p>
      <w:r>
        <w:t>饱和度是谐振腔容量占比指标，直接影响运行效率和安全性。70% 以下为常规目标区间，70%-85% 为预警区间，85%-95% 为临界高风险区；超过 95% 时由判官结合回流、热备与断流风险决定是否启动泄洪。低饱和度不视为安全异常，但需检查供给链路并评估是否补充哈基米。枯水期不得以主动泄洪换取平衡，应优先采用温存、热备分流和借东风补充策略。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