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16C2" w:rsidR="00E51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a123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06/11/2021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Hà Nội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8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