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33C5D">
        <w:rPr>
          <w:rFonts w:ascii="바탕" w:eastAsia="바탕" w:hAnsi="바탕" w:cs="굴림"/>
          <w:color w:val="000000"/>
          <w:kern w:val="0"/>
          <w:szCs w:val="20"/>
        </w:rPr>
        <w:t>서울 강서구 화곡1동 918-24 크로스캐슬 206호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33C5D">
        <w:rPr>
          <w:rFonts w:ascii="바탕" w:eastAsia="바탕" w:hAnsi="바탕" w:cs="함초롬바탕"/>
          <w:color w:val="000000"/>
          <w:kern w:val="0"/>
          <w:szCs w:val="20"/>
        </w:rPr>
        <w:t>주식회사굿웨어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33C5D">
        <w:rPr>
          <w:rFonts w:ascii="바탕" w:eastAsia="바탕" w:hAnsi="바탕" w:cs="굴림"/>
          <w:color w:val="000000"/>
          <w:kern w:val="0"/>
          <w:szCs w:val="20"/>
        </w:rPr>
        <w:t>2016년 9월 26일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033C5D">
        <w:rPr>
          <w:rFonts w:ascii="바탕" w:eastAsia="바탕" w:hAnsi="바탕" w:cs="굴림"/>
          <w:color w:val="FF0000"/>
          <w:kern w:val="0"/>
          <w:szCs w:val="20"/>
        </w:rPr>
        <w:t>월별 지급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033C5D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9월 26일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033C5D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033C5D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주식회사굿웨어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033C5D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33C5D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 강서구 화곡1동 918-24 크로스캐슬 206호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033C5D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33C5D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033C5D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033C5D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9월 26일</w:t>
            </w:r>
          </w:p>
        </w:tc>
        <w:tc>
          <w:tcPr>
            <w:tcW w:w="4508" w:type="dxa"/>
          </w:tcPr>
          <w:p w:rsidR="00760357" w:rsidRDefault="00760357" w:rsidP="00033C5D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033C5D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9월 26일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4A0A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4A0A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4A0A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3C5D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A0AE6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2016-09-26T09:46:00Z</dcterms:modified>
</cp:coreProperties>
</file>