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12 - HỆ THỐNG GIAO HÀNG LẠNH FASTSHIP</w:t>
      </w:r>
    </w:p>
    <w:p>
      <w:pPr>
        <w:jc w:val="center"/>
      </w:pPr>
      <w:r>
        <w:rPr>
          <w:b/>
          <w:sz w:val="26"/>
        </w:rPr>
        <w:t>Session 01</w:t>
      </w:r>
    </w:p>
    <w:tbl>
      <w:tblPr>
        <w:tblStyle w:val="TableGrid"/>
        <w:tblW w:type="auto" w:w="0"/>
        <w:jc w:val="center"/>
        <w:tblLook w:firstColumn="1" w:firstRow="1" w:lastColumn="0" w:lastRow="0" w:noHBand="0" w:noVBand="1" w:val="04A0"/>
      </w:tblPr>
      <w:tblGrid>
        <w:gridCol w:w="4986"/>
        <w:gridCol w:w="4986"/>
      </w:tblGrid>
      <w:tr>
        <w:tc>
          <w:tcPr>
            <w:tcW w:type="dxa" w:w="4986"/>
            <w:tcMar>
              <w:top w:w="90" w:type="dxa"/>
              <w:start w:w="90" w:type="dxa"/>
              <w:bottom w:w="90" w:type="dxa"/>
              <w:end w:w="90" w:type="dxa"/>
            </w:tcMar>
          </w:tcPr>
          <w:p>
            <w:r>
              <w:rPr>
                <w:b/>
              </w:rPr>
              <w:t>Họ và tên</w:t>
            </w:r>
          </w:p>
        </w:tc>
        <w:tc>
          <w:tcPr>
            <w:tcW w:type="dxa" w:w="4986"/>
            <w:tcMar>
              <w:top w:w="90" w:type="dxa"/>
              <w:start w:w="90" w:type="dxa"/>
              <w:bottom w:w="90" w:type="dxa"/>
              <w:end w:w="90" w:type="dxa"/>
            </w:tcMar>
          </w:tcPr>
          <w:p>
            <w:r>
              <w:t>Phan Huy Hưng</w:t>
            </w:r>
          </w:p>
        </w:tc>
      </w:tr>
      <w:tr>
        <w:tc>
          <w:tcPr>
            <w:tcW w:type="dxa" w:w="4986"/>
            <w:tcMar>
              <w:top w:w="90" w:type="dxa"/>
              <w:start w:w="90" w:type="dxa"/>
              <w:bottom w:w="90" w:type="dxa"/>
              <w:end w:w="90" w:type="dxa"/>
            </w:tcMar>
          </w:tcPr>
          <w:p>
            <w:r>
              <w:rPr>
                <w:b/>
              </w:rPr>
              <w:t>Lớp</w:t>
            </w:r>
          </w:p>
        </w:tc>
        <w:tc>
          <w:tcPr>
            <w:tcW w:type="dxa" w:w="4986"/>
            <w:tcMar>
              <w:top w:w="90" w:type="dxa"/>
              <w:start w:w="90" w:type="dxa"/>
              <w:bottom w:w="90" w:type="dxa"/>
              <w:end w:w="90" w:type="dxa"/>
            </w:tcMar>
          </w:tcPr>
          <w:p>
            <w:r>
              <w:t>CNTT1</w:t>
            </w:r>
          </w:p>
        </w:tc>
      </w:tr>
      <w:tr>
        <w:tc>
          <w:tcPr>
            <w:tcW w:type="dxa" w:w="4986"/>
            <w:tcMar>
              <w:top w:w="90" w:type="dxa"/>
              <w:start w:w="90" w:type="dxa"/>
              <w:bottom w:w="90" w:type="dxa"/>
              <w:end w:w="90" w:type="dxa"/>
            </w:tcMar>
          </w:tcPr>
          <w:p>
            <w:r>
              <w:rPr>
                <w:b/>
              </w:rPr>
              <w:t>Môn học</w:t>
            </w:r>
          </w:p>
        </w:tc>
        <w:tc>
          <w:tcPr>
            <w:tcW w:type="dxa" w:w="4986"/>
            <w:tcMar>
              <w:top w:w="90" w:type="dxa"/>
              <w:start w:w="90" w:type="dxa"/>
              <w:bottom w:w="90" w:type="dxa"/>
              <w:end w:w="90" w:type="dxa"/>
            </w:tcMar>
          </w:tcPr>
          <w:p>
            <w:r>
              <w:t>Nhập môn CNTT</w:t>
            </w:r>
          </w:p>
        </w:tc>
      </w:tr>
    </w:tbl>
    <w:p/>
    <w:p>
      <w:pPr>
        <w:pStyle w:val="Heading1"/>
      </w:pPr>
      <w:r>
        <w:t>PHẦN 1. XÁC ĐỊNH CẤU TRÚC</w:t>
      </w:r>
    </w:p>
    <w:p>
      <w:pPr>
        <w:pStyle w:val="Heading2"/>
      </w:pPr>
      <w:r>
        <w:t>1. Mô hình IPO</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Mar>
              <w:top w:w="90" w:type="dxa"/>
              <w:start w:w="90" w:type="dxa"/>
              <w:bottom w:w="90" w:type="dxa"/>
              <w:end w:w="90" w:type="dxa"/>
            </w:tcMar>
          </w:tcPr>
          <w:p>
            <w:pPr>
              <w:spacing w:after="0"/>
            </w:pPr>
            <w:r>
              <w:rPr>
                <w:b/>
              </w:rPr>
              <w:t>Thành phần</w:t>
            </w:r>
          </w:p>
        </w:tc>
        <w:tc>
          <w:tcPr>
            <w:tcW w:type="dxa" w:w="4986"/>
            <w:shd w:fill="D9EAF7"/>
            <w:vAlign w:val="center"/>
            <w:tcMar>
              <w:top w:w="90" w:type="dxa"/>
              <w:start w:w="90" w:type="dxa"/>
              <w:bottom w:w="90" w:type="dxa"/>
              <w:end w:w="90" w:type="dxa"/>
            </w:tcMar>
          </w:tcPr>
          <w:p>
            <w:pPr>
              <w:spacing w:after="0"/>
            </w:pPr>
            <w:r>
              <w:rPr>
                <w:b/>
              </w:rPr>
              <w:t>Nội dung</w:t>
            </w:r>
          </w:p>
        </w:tc>
      </w:tr>
      <w:tr>
        <w:tc>
          <w:tcPr>
            <w:tcW w:type="dxa" w:w="4986"/>
            <w:vAlign w:val="center"/>
            <w:tcMar>
              <w:top w:w="90" w:type="dxa"/>
              <w:start w:w="90" w:type="dxa"/>
              <w:bottom w:w="90" w:type="dxa"/>
              <w:end w:w="90" w:type="dxa"/>
            </w:tcMar>
          </w:tcPr>
          <w:p>
            <w:pPr>
              <w:spacing w:after="0"/>
            </w:pPr>
            <w:r>
              <w:t>Input</w:t>
            </w:r>
          </w:p>
        </w:tc>
        <w:tc>
          <w:tcPr>
            <w:tcW w:type="dxa" w:w="4986"/>
            <w:vAlign w:val="center"/>
            <w:tcMar>
              <w:top w:w="90" w:type="dxa"/>
              <w:start w:w="90" w:type="dxa"/>
              <w:bottom w:w="90" w:type="dxa"/>
              <w:end w:w="90" w:type="dxa"/>
            </w:tcMar>
          </w:tcPr>
          <w:p>
            <w:pPr>
              <w:spacing w:after="0"/>
            </w:pPr>
            <w:r>
              <w:t>Cảm biến gửi nhiệt độ của thùng xe liên tục</w:t>
            </w:r>
          </w:p>
        </w:tc>
      </w:tr>
      <w:tr>
        <w:tc>
          <w:tcPr>
            <w:tcW w:type="dxa" w:w="4986"/>
            <w:vAlign w:val="center"/>
            <w:tcMar>
              <w:top w:w="90" w:type="dxa"/>
              <w:start w:w="90" w:type="dxa"/>
              <w:bottom w:w="90" w:type="dxa"/>
              <w:end w:w="90" w:type="dxa"/>
            </w:tcMar>
          </w:tcPr>
          <w:p>
            <w:pPr>
              <w:spacing w:after="0"/>
            </w:pPr>
            <w:r>
              <w:t>Process</w:t>
            </w:r>
          </w:p>
        </w:tc>
        <w:tc>
          <w:tcPr>
            <w:tcW w:type="dxa" w:w="4986"/>
            <w:vAlign w:val="center"/>
            <w:tcMar>
              <w:top w:w="90" w:type="dxa"/>
              <w:start w:w="90" w:type="dxa"/>
              <w:bottom w:w="90" w:type="dxa"/>
              <w:end w:w="90" w:type="dxa"/>
            </w:tcMar>
          </w:tcPr>
          <w:p>
            <w:pPr>
              <w:spacing w:after="0"/>
            </w:pPr>
            <w:r>
              <w:t>Hệ thống nhận dữ liệu, so sánh với ngưỡng an toàn và phát hiện bất thường</w:t>
            </w:r>
          </w:p>
        </w:tc>
      </w:tr>
      <w:tr>
        <w:tc>
          <w:tcPr>
            <w:tcW w:type="dxa" w:w="4986"/>
            <w:vAlign w:val="center"/>
            <w:tcMar>
              <w:top w:w="90" w:type="dxa"/>
              <w:start w:w="90" w:type="dxa"/>
              <w:bottom w:w="90" w:type="dxa"/>
              <w:end w:w="90" w:type="dxa"/>
            </w:tcMar>
          </w:tcPr>
          <w:p>
            <w:pPr>
              <w:spacing w:after="0"/>
            </w:pPr>
            <w:r>
              <w:t>Output</w:t>
            </w:r>
          </w:p>
        </w:tc>
        <w:tc>
          <w:tcPr>
            <w:tcW w:type="dxa" w:w="4986"/>
            <w:vAlign w:val="center"/>
            <w:tcMar>
              <w:top w:w="90" w:type="dxa"/>
              <w:start w:w="90" w:type="dxa"/>
              <w:bottom w:w="90" w:type="dxa"/>
              <w:end w:w="90" w:type="dxa"/>
            </w:tcMar>
          </w:tcPr>
          <w:p>
            <w:pPr>
              <w:spacing w:after="0"/>
            </w:pPr>
            <w:r>
              <w:t>Hiển thị trạng thái, gửi cảnh báo cho điều phối viên/tài xế khi nhiệt độ vượt ngưỡng</w:t>
            </w:r>
          </w:p>
        </w:tc>
      </w:tr>
      <w:tr>
        <w:tc>
          <w:tcPr>
            <w:tcW w:type="dxa" w:w="4986"/>
            <w:vAlign w:val="center"/>
            <w:tcMar>
              <w:top w:w="90" w:type="dxa"/>
              <w:start w:w="90" w:type="dxa"/>
              <w:bottom w:w="90" w:type="dxa"/>
              <w:end w:w="90" w:type="dxa"/>
            </w:tcMar>
          </w:tcPr>
          <w:p>
            <w:pPr>
              <w:spacing w:after="0"/>
            </w:pPr>
            <w:r>
              <w:t>Storage</w:t>
            </w:r>
          </w:p>
        </w:tc>
        <w:tc>
          <w:tcPr>
            <w:tcW w:type="dxa" w:w="4986"/>
            <w:vAlign w:val="center"/>
            <w:tcMar>
              <w:top w:w="90" w:type="dxa"/>
              <w:start w:w="90" w:type="dxa"/>
              <w:bottom w:w="90" w:type="dxa"/>
              <w:end w:w="90" w:type="dxa"/>
            </w:tcMar>
          </w:tcPr>
          <w:p>
            <w:pPr>
              <w:spacing w:after="0"/>
            </w:pPr>
            <w:r>
              <w:t>Lưu log nhiệt độ để kiểm tra lịch sử và truy vết</w:t>
            </w:r>
          </w:p>
        </w:tc>
      </w:tr>
    </w:tbl>
    <w:p>
      <w:pPr>
        <w:pStyle w:val="Heading2"/>
      </w:pPr>
      <w:r>
        <w:t>2. Vai trò BA và SE</w:t>
      </w:r>
    </w:p>
    <w:p>
      <w:pPr>
        <w:spacing w:after="100" w:line="276" w:lineRule="auto"/>
      </w:pPr>
      <w:r>
        <w:t>Business Analyst (BA) làm việc với FastShip để làm rõ nhu cầu: ngưỡng nhiệt an toàn là bao nhiêu, ai nhận cảnh báo, cảnh báo trong bao lâu, cần báo cáo gì và quy trình xử lý khi nhiệt độ bất thường.</w:t>
      </w:r>
    </w:p>
    <w:p>
      <w:pPr>
        <w:spacing w:after="100" w:line="276" w:lineRule="auto"/>
      </w:pPr>
      <w:r>
        <w:t>Software Engineer (SE) dựa trên yêu cầu đó để thiết kế và lập trình hệ thống: nhận dữ liệu cảm biến, lưu log, xây API, giao diện theo dõi và chức năng cảnh báo.</w:t>
      </w:r>
    </w:p>
    <w:p>
      <w:pPr>
        <w:pStyle w:val="Heading1"/>
      </w:pPr>
      <w:r>
        <w:t>PHẦN 2. XỬ LÝ TÌNH HUỐNG</w:t>
      </w:r>
    </w:p>
    <w:p>
      <w:pPr>
        <w:pStyle w:val="Heading2"/>
      </w:pPr>
      <w:r>
        <w:t>3. Áp dụng DIKW</w:t>
      </w:r>
    </w:p>
    <w:p>
      <w:pPr>
        <w:spacing w:after="100" w:line="276" w:lineRule="auto"/>
      </w:pPr>
      <w:r>
        <w:t>Các giá trị 2°C, 3°C thu về liên tục là Data vì đây là dữ liệu thô từ cảm biến.</w:t>
      </w:r>
    </w:p>
    <w:p>
      <w:pPr>
        <w:spacing w:after="100" w:line="276" w:lineRule="auto"/>
      </w:pPr>
      <w:r>
        <w:t>Nhận định “Thùng xe số 5 đang tăng nhiệt độ quá mức an toàn” thuộc Knowledge nếu nó là kết luận sau khi so sánh chuỗi số liệu với ngưỡng và xu hướng. Nếu từ đó hệ thống quyết định dừng xe/kiểm tra máy lạnh hoặc chuyển hàng sang xe khác thì quyết định hành động đó mới gần với Wisdom.</w:t>
      </w:r>
    </w:p>
    <w:p>
      <w:pPr>
        <w:pStyle w:val="Heading2"/>
      </w:pPr>
      <w:r>
        <w:t>4. Tính dung lượng log</w:t>
      </w:r>
    </w:p>
    <w:p>
      <w:pPr>
        <w:spacing w:after="100" w:line="276" w:lineRule="auto"/>
      </w:pPr>
      <w:r>
        <w:t>Mỗi giây gửi 1 KB. Một ngày có 24 × 60 × 60 = 86.400 giây.</w:t>
      </w:r>
    </w:p>
    <w:p>
      <w:pPr>
        <w:spacing w:after="100" w:line="276" w:lineRule="auto"/>
      </w:pPr>
      <w:r>
        <w:t>Một xe: 86.400 KB/ngày. Quy đổi theo 1024: 86.400 ÷ 1024 = 84,375 MB/ngày.</w:t>
      </w:r>
    </w:p>
    <w:p>
      <w:pPr>
        <w:spacing w:after="100" w:line="276" w:lineRule="auto"/>
      </w:pPr>
      <w:r>
        <w:t>1000 xe: 84,375 × 1000 = 84.375 MB/ngày. Quy đổi tiếp: 84.375 ÷ 1024 ≈ 82,40 GB/ngày.</w:t>
      </w:r>
    </w:p>
    <w:p>
      <w:pPr>
        <w:pStyle w:val="Heading1"/>
      </w:pPr>
      <w:r>
        <w:t>Kết luận</w:t>
      </w:r>
    </w:p>
    <w:p>
      <w:pPr>
        <w:spacing w:after="100" w:line="276" w:lineRule="auto"/>
      </w:pPr>
      <w:r>
        <w:t>Hệ thống Cold Chain cần kết hợp cảm biến, xử lý cảnh báo và lưu log liên tục. BA giúp xác định đúng nghiệp vụ còn SE biến yêu cầu thành hệ thống chạy được. Với 1000 xe, chỉ riêng log 1 KB/giây đã tạo khoảng 82,4 GB dữ liệu mỗi ngày.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