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KẾ HOẠCH HỘI NGHỊ KHOA HỌC SINH VIÊN PTIT 2027</w:t>
      </w:r>
    </w:p>
    <w:p>
      <w:pPr>
        <w:jc w:val="center"/>
      </w:pPr>
      <w:r>
        <w:rPr>
          <w:sz w:val="20"/>
        </w:rPr>
        <w:t>Họ và tên: Phan Huy Hưng | Lớp: CNTT1 | Môn: Nhập môn CNTT</w:t>
      </w:r>
    </w:p>
    <w:p/>
    <w:p>
      <w:r>
        <w:fldChar w:fldCharType="begin"/>
        <w:instrText xml:space="preserve"> TOC \o "1-3" \h \z \u </w:instrText>
        <w:fldChar w:fldCharType="separate"/>
        <w:t>(TOC will populate after updating fields)</w:t>
        <w:fldChar w:fldCharType="end"/>
      </w:r>
    </w:p>
    <w:p>
      <w:pPr>
        <w:pStyle w:val="Heading1"/>
      </w:pPr>
      <w:r>
        <w:t>1. Giới thiệu hội nghị</w:t>
      </w:r>
    </w:p>
    <w:p>
      <w:pPr>
        <w:pStyle w:val="Heading2"/>
      </w:pPr>
      <w:r>
        <w:t>1.1. Mục tiêu</w:t>
      </w:r>
    </w:p>
    <w:p>
      <w:r>
        <w:t>Tạo diễn đàn công bố kết quả nghiên cứu sinh viên và kết nối các nhóm nghiên cứu.</w:t>
      </w:r>
    </w:p>
    <w:p>
      <w:pPr>
        <w:pStyle w:val="Heading2"/>
      </w:pPr>
      <w:r>
        <w:t>1.2. Đối tượng tham dự</w:t>
      </w:r>
    </w:p>
    <w:p>
      <w:r>
        <w:t>Sinh viên, giảng viên, khách mời và đại diện doanh nghiệp.</w:t>
      </w:r>
    </w:p>
    <w:p>
      <w:pPr>
        <w:pStyle w:val="Heading1"/>
      </w:pPr>
      <w:r>
        <w:t>2. Cơ cấu tổ chức</w:t>
      </w:r>
    </w:p>
    <w:p>
      <w:pPr>
        <w:pStyle w:val="Heading2"/>
      </w:pPr>
      <w:r>
        <w:t>2.1. Ban Nội dung</w:t>
      </w:r>
    </w:p>
    <w:p>
      <w:pPr>
        <w:pStyle w:val="Heading3"/>
      </w:pPr>
      <w:r>
        <w:t>2.1.1. Tiểu ban phản biện</w:t>
      </w:r>
    </w:p>
    <w:p>
      <w:r>
        <w:t>Phụ trách rubric và phân công phản biện.</w:t>
      </w:r>
    </w:p>
    <w:p>
      <w:pPr>
        <w:pStyle w:val="Heading1"/>
      </w:pPr>
      <w:r>
        <w:t>3. Lịch trình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Arial" w:hAnsi="Arial" w:eastAsia="Arial"/>
                <w:b/>
                <w:sz w:val="20"/>
              </w:rPr>
              <w:t>Thời gian</w:t>
            </w:r>
          </w:p>
        </w:tc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Arial" w:hAnsi="Arial" w:eastAsia="Arial"/>
                <w:b/>
                <w:sz w:val="20"/>
              </w:rPr>
              <w:t>Hoạt động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08:00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Khai mạc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09:00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Báo cáo phiên 1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13:30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Báo cáo phiên 2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16:30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Trao giải</w:t>
            </w:r>
          </w:p>
        </w:tc>
      </w:tr>
    </w:tbl>
    <w:p>
      <w:pPr>
        <w:pStyle w:val="Heading1"/>
      </w:pPr>
      <w:r>
        <w:t>4. Giải thưởng</w:t>
      </w:r>
    </w:p>
    <w:p>
      <w:pPr>
        <w:pStyle w:val="ListNumber"/>
      </w:pPr>
      <w:r>
        <w:t>Giải Nhất</w:t>
      </w:r>
    </w:p>
    <w:p>
      <w:pPr>
        <w:pStyle w:val="ListNumber"/>
      </w:pPr>
      <w:r>
        <w:t>Giải Nhì</w:t>
      </w:r>
    </w:p>
    <w:p>
      <w:pPr>
        <w:pStyle w:val="ListNumber"/>
      </w:pPr>
      <w:r>
        <w:t>Giải Ba</w:t>
      </w:r>
    </w:p>
    <w:p>
      <w:pPr>
        <w:pStyle w:val="ListNumber"/>
      </w:pPr>
      <w:r>
        <w:t>Giải Khuyến khích</w:t>
      </w:r>
    </w:p>
    <w:p>
      <w:pPr>
        <w:pStyle w:val="Heading1"/>
      </w:pPr>
      <w:r>
        <w:t>5. Quy chế</w:t>
      </w:r>
    </w:p>
    <w:p>
      <w:r>
        <w:t>Báo cáo đúng thời lượng, trích dẫn nguồn rõ ràng và tuân thủ quy tắc học thuật.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updateFields w:val="true"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336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