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SESSION 10 - BTVN12: Báo cáo Tổng kết Hội nghị 2026</w:t>
      </w:r>
    </w:p>
    <w:p>
      <w:pPr>
        <w:jc w:val="center"/>
      </w:pPr>
      <w:r>
        <w:rPr>
          <w:sz w:val="20"/>
        </w:rPr>
        <w:t>Họ và tên: Phan Huy Hưng | Lớp: CNTT1 | Môn: Nhập môn CNTT</w:t>
      </w:r>
    </w:p>
    <w:p/>
    <w:p>
      <w:pPr>
        <w:pStyle w:val="Heading1"/>
      </w:pPr>
      <w:r>
        <w:t>Phần 1. Heading cho Báo cáo Tổng kết</w:t>
      </w:r>
    </w:p>
    <w:p>
      <w:pPr>
        <w:spacing w:after="80"/>
        <w:ind w:left="360"/>
      </w:pPr>
      <w:r>
        <w:rPr>
          <w:rFonts w:ascii="Consolas" w:hAnsi="Consolas" w:eastAsia="Consolas"/>
          <w:sz w:val="18"/>
        </w:rPr>
        <w:t>H1 1. Tổng quan hội nghị</w:t>
        <w:br/>
        <w:t xml:space="preserve">  H2 1.1. Thời gian và địa điểm</w:t>
        <w:br/>
        <w:t xml:space="preserve">  H2 1.2. Thành phần tham dự</w:t>
        <w:br/>
        <w:t>H1 2. Công tác tổ chức</w:t>
        <w:br/>
        <w:t xml:space="preserve">  H2 2.1. Quy trình xét duyệt</w:t>
        <w:br/>
        <w:t>H1 3. Kết quả và Thống kê</w:t>
        <w:br/>
        <w:t xml:space="preserve">  H2 3.1. Kết quả theo Khoa/Viện</w:t>
        <w:br/>
        <w:t xml:space="preserve">  H2 3.2. Giải thưởng</w:t>
        <w:br/>
        <w:t>H1 4. Đánh giá và Kiến nghị</w:t>
        <w:br/>
        <w:t xml:space="preserve">  H2 4.1. Điểm nổi bật</w:t>
        <w:br/>
        <w:t xml:space="preserve">  H2 4.2. Kiến nghị năm sau</w:t>
      </w:r>
    </w:p>
    <w:p>
      <w:r>
        <w:t>Phân cấp này đi từ tổng quan → cách tổ chức → kết quả → đánh giá, nên người đọc có thể tra cứu theo logic công việc chứ không phải chia tùy ý.</w:t>
      </w:r>
    </w:p>
    <w:p>
      <w:pPr>
        <w:pStyle w:val="Heading1"/>
      </w:pPr>
      <w:r>
        <w:t>3. Kết quả và Thống kê</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rial" w:hAnsi="Arial" w:eastAsia="Arial"/>
                <w:b/>
                <w:sz w:val="20"/>
              </w:rPr>
              <w:t>Khoa/Viện</w:t>
            </w:r>
          </w:p>
        </w:tc>
        <w:tc>
          <w:tcPr>
            <w:tcW w:type="dxa" w:w="2016"/>
            <w:vAlign w:val="center"/>
            <w:shd w:fill="D9EAF7"/>
          </w:tcPr>
          <w:p>
            <w:r/>
            <w:r>
              <w:rPr>
                <w:rFonts w:ascii="Arial" w:hAnsi="Arial" w:eastAsia="Arial"/>
                <w:b/>
                <w:sz w:val="20"/>
              </w:rPr>
              <w:t>Nộp</w:t>
            </w:r>
          </w:p>
        </w:tc>
        <w:tc>
          <w:tcPr>
            <w:tcW w:type="dxa" w:w="2016"/>
            <w:vAlign w:val="center"/>
            <w:shd w:fill="D9EAF7"/>
          </w:tcPr>
          <w:p>
            <w:r/>
            <w:r>
              <w:rPr>
                <w:rFonts w:ascii="Arial" w:hAnsi="Arial" w:eastAsia="Arial"/>
                <w:b/>
                <w:sz w:val="20"/>
              </w:rPr>
              <w:t>Duyệt</w:t>
            </w:r>
          </w:p>
        </w:tc>
        <w:tc>
          <w:tcPr>
            <w:tcW w:type="dxa" w:w="2016"/>
            <w:vAlign w:val="center"/>
            <w:shd w:fill="D9EAF7"/>
          </w:tcPr>
          <w:p>
            <w:r/>
            <w:r>
              <w:rPr>
                <w:rFonts w:ascii="Arial" w:hAnsi="Arial" w:eastAsia="Arial"/>
                <w:b/>
                <w:sz w:val="20"/>
              </w:rPr>
              <w:t>Tỷ lệ</w:t>
            </w:r>
          </w:p>
        </w:tc>
        <w:tc>
          <w:tcPr>
            <w:tcW w:type="dxa" w:w="2016"/>
            <w:vAlign w:val="center"/>
            <w:shd w:fill="D9EAF7"/>
          </w:tcPr>
          <w:p>
            <w:r/>
            <w:r>
              <w:rPr>
                <w:rFonts w:ascii="Arial" w:hAnsi="Arial" w:eastAsia="Arial"/>
                <w:b/>
                <w:sz w:val="20"/>
              </w:rPr>
              <w:t>Giải Nhất</w:t>
            </w:r>
          </w:p>
        </w:tc>
      </w:tr>
      <w:tr>
        <w:tc>
          <w:tcPr>
            <w:tcW w:type="dxa" w:w="2016"/>
            <w:vAlign w:val="center"/>
          </w:tcPr>
          <w:p>
            <w:r/>
            <w:r>
              <w:rPr>
                <w:rFonts w:ascii="Arial" w:hAnsi="Arial" w:eastAsia="Arial"/>
                <w:b w:val="0"/>
                <w:sz w:val="20"/>
              </w:rPr>
              <w:t>CNTT</w:t>
            </w:r>
          </w:p>
        </w:tc>
        <w:tc>
          <w:tcPr>
            <w:tcW w:type="dxa" w:w="2016"/>
            <w:vAlign w:val="center"/>
          </w:tcPr>
          <w:p>
            <w:r/>
            <w:r>
              <w:rPr>
                <w:rFonts w:ascii="Arial" w:hAnsi="Arial" w:eastAsia="Arial"/>
                <w:b w:val="0"/>
                <w:sz w:val="20"/>
              </w:rPr>
              <w:t>42</w:t>
            </w:r>
          </w:p>
        </w:tc>
        <w:tc>
          <w:tcPr>
            <w:tcW w:type="dxa" w:w="2016"/>
            <w:vAlign w:val="center"/>
          </w:tcPr>
          <w:p>
            <w:r/>
            <w:r>
              <w:rPr>
                <w:rFonts w:ascii="Arial" w:hAnsi="Arial" w:eastAsia="Arial"/>
                <w:b w:val="0"/>
                <w:sz w:val="20"/>
              </w:rPr>
              <w:t>38</w:t>
            </w:r>
          </w:p>
        </w:tc>
        <w:tc>
          <w:tcPr>
            <w:tcW w:type="dxa" w:w="2016"/>
            <w:vAlign w:val="center"/>
          </w:tcPr>
          <w:p>
            <w:r/>
            <w:r>
              <w:rPr>
                <w:rFonts w:ascii="Arial" w:hAnsi="Arial" w:eastAsia="Arial"/>
                <w:b w:val="0"/>
                <w:sz w:val="20"/>
              </w:rPr>
              <w:t>90%</w:t>
            </w:r>
          </w:p>
        </w:tc>
        <w:tc>
          <w:tcPr>
            <w:tcW w:type="dxa" w:w="2016"/>
            <w:vAlign w:val="center"/>
          </w:tcPr>
          <w:p>
            <w:r/>
            <w:r>
              <w:rPr>
                <w:rFonts w:ascii="Arial" w:hAnsi="Arial" w:eastAsia="Arial"/>
                <w:b w:val="0"/>
                <w:sz w:val="20"/>
              </w:rPr>
              <w:t>2</w:t>
            </w:r>
          </w:p>
        </w:tc>
      </w:tr>
      <w:tr>
        <w:tc>
          <w:tcPr>
            <w:tcW w:type="dxa" w:w="2016"/>
            <w:vAlign w:val="center"/>
          </w:tcPr>
          <w:p>
            <w:r/>
            <w:r>
              <w:rPr>
                <w:rFonts w:ascii="Arial" w:hAnsi="Arial" w:eastAsia="Arial"/>
                <w:b w:val="0"/>
                <w:sz w:val="20"/>
              </w:rPr>
              <w:t>Điện tử - Viễn thông</w:t>
            </w:r>
          </w:p>
        </w:tc>
        <w:tc>
          <w:tcPr>
            <w:tcW w:type="dxa" w:w="2016"/>
            <w:vAlign w:val="center"/>
          </w:tcPr>
          <w:p>
            <w:r/>
            <w:r>
              <w:rPr>
                <w:rFonts w:ascii="Arial" w:hAnsi="Arial" w:eastAsia="Arial"/>
                <w:b w:val="0"/>
                <w:sz w:val="20"/>
              </w:rPr>
              <w:t>28</w:t>
            </w:r>
          </w:p>
        </w:tc>
        <w:tc>
          <w:tcPr>
            <w:tcW w:type="dxa" w:w="2016"/>
            <w:vAlign w:val="center"/>
          </w:tcPr>
          <w:p>
            <w:r/>
            <w:r>
              <w:rPr>
                <w:rFonts w:ascii="Arial" w:hAnsi="Arial" w:eastAsia="Arial"/>
                <w:b w:val="0"/>
                <w:sz w:val="20"/>
              </w:rPr>
              <w:t>22</w:t>
            </w:r>
          </w:p>
        </w:tc>
        <w:tc>
          <w:tcPr>
            <w:tcW w:type="dxa" w:w="2016"/>
            <w:vAlign w:val="center"/>
          </w:tcPr>
          <w:p>
            <w:r/>
            <w:r>
              <w:rPr>
                <w:rFonts w:ascii="Arial" w:hAnsi="Arial" w:eastAsia="Arial"/>
                <w:b w:val="0"/>
                <w:sz w:val="20"/>
              </w:rPr>
              <w:t>79%</w:t>
            </w:r>
          </w:p>
        </w:tc>
        <w:tc>
          <w:tcPr>
            <w:tcW w:type="dxa" w:w="2016"/>
            <w:vAlign w:val="center"/>
          </w:tcPr>
          <w:p>
            <w:r/>
            <w:r>
              <w:rPr>
                <w:rFonts w:ascii="Arial" w:hAnsi="Arial" w:eastAsia="Arial"/>
                <w:b w:val="0"/>
                <w:sz w:val="20"/>
              </w:rPr>
              <w:t>1</w:t>
            </w:r>
          </w:p>
        </w:tc>
      </w:tr>
      <w:tr>
        <w:tc>
          <w:tcPr>
            <w:tcW w:type="dxa" w:w="2016"/>
            <w:vAlign w:val="center"/>
          </w:tcPr>
          <w:p>
            <w:r/>
            <w:r>
              <w:rPr>
                <w:rFonts w:ascii="Arial" w:hAnsi="Arial" w:eastAsia="Arial"/>
                <w:b w:val="0"/>
                <w:sz w:val="20"/>
              </w:rPr>
              <w:t>Kinh tế - Quản lý</w:t>
            </w:r>
          </w:p>
        </w:tc>
        <w:tc>
          <w:tcPr>
            <w:tcW w:type="dxa" w:w="2016"/>
            <w:vAlign w:val="center"/>
          </w:tcPr>
          <w:p>
            <w:r/>
            <w:r>
              <w:rPr>
                <w:rFonts w:ascii="Arial" w:hAnsi="Arial" w:eastAsia="Arial"/>
                <w:b w:val="0"/>
                <w:sz w:val="20"/>
              </w:rPr>
              <w:t>19</w:t>
            </w:r>
          </w:p>
        </w:tc>
        <w:tc>
          <w:tcPr>
            <w:tcW w:type="dxa" w:w="2016"/>
            <w:vAlign w:val="center"/>
          </w:tcPr>
          <w:p>
            <w:r/>
            <w:r>
              <w:rPr>
                <w:rFonts w:ascii="Arial" w:hAnsi="Arial" w:eastAsia="Arial"/>
                <w:b w:val="0"/>
                <w:sz w:val="20"/>
              </w:rPr>
              <w:t>15</w:t>
            </w:r>
          </w:p>
        </w:tc>
        <w:tc>
          <w:tcPr>
            <w:tcW w:type="dxa" w:w="2016"/>
            <w:vAlign w:val="center"/>
          </w:tcPr>
          <w:p>
            <w:r/>
            <w:r>
              <w:rPr>
                <w:rFonts w:ascii="Arial" w:hAnsi="Arial" w:eastAsia="Arial"/>
                <w:b w:val="0"/>
                <w:sz w:val="20"/>
              </w:rPr>
              <w:t>79%</w:t>
            </w:r>
          </w:p>
        </w:tc>
        <w:tc>
          <w:tcPr>
            <w:tcW w:type="dxa" w:w="2016"/>
            <w:vAlign w:val="center"/>
          </w:tcPr>
          <w:p>
            <w:r/>
            <w:r>
              <w:rPr>
                <w:rFonts w:ascii="Arial" w:hAnsi="Arial" w:eastAsia="Arial"/>
                <w:b w:val="0"/>
                <w:sz w:val="20"/>
              </w:rPr>
              <w:t>0</w:t>
            </w:r>
          </w:p>
        </w:tc>
      </w:tr>
      <w:tr>
        <w:tc>
          <w:tcPr>
            <w:tcW w:type="dxa" w:w="2016"/>
            <w:vAlign w:val="center"/>
          </w:tcPr>
          <w:p>
            <w:r/>
            <w:r>
              <w:rPr>
                <w:rFonts w:ascii="Arial" w:hAnsi="Arial" w:eastAsia="Arial"/>
                <w:b w:val="0"/>
                <w:sz w:val="20"/>
              </w:rPr>
              <w:t>Cơ sở chung</w:t>
            </w:r>
          </w:p>
        </w:tc>
        <w:tc>
          <w:tcPr>
            <w:tcW w:type="dxa" w:w="2016"/>
            <w:vAlign w:val="center"/>
          </w:tcPr>
          <w:p>
            <w:r/>
            <w:r>
              <w:rPr>
                <w:rFonts w:ascii="Arial" w:hAnsi="Arial" w:eastAsia="Arial"/>
                <w:b w:val="0"/>
                <w:sz w:val="20"/>
              </w:rPr>
              <w:t>11</w:t>
            </w:r>
          </w:p>
        </w:tc>
        <w:tc>
          <w:tcPr>
            <w:tcW w:type="dxa" w:w="2016"/>
            <w:vAlign w:val="center"/>
          </w:tcPr>
          <w:p>
            <w:r/>
            <w:r>
              <w:rPr>
                <w:rFonts w:ascii="Arial" w:hAnsi="Arial" w:eastAsia="Arial"/>
                <w:b w:val="0"/>
                <w:sz w:val="20"/>
              </w:rPr>
              <w:t>7</w:t>
            </w:r>
          </w:p>
        </w:tc>
        <w:tc>
          <w:tcPr>
            <w:tcW w:type="dxa" w:w="2016"/>
            <w:vAlign w:val="center"/>
          </w:tcPr>
          <w:p>
            <w:r/>
            <w:r>
              <w:rPr>
                <w:rFonts w:ascii="Arial" w:hAnsi="Arial" w:eastAsia="Arial"/>
                <w:b w:val="0"/>
                <w:sz w:val="20"/>
              </w:rPr>
              <w:t>64%</w:t>
            </w:r>
          </w:p>
        </w:tc>
        <w:tc>
          <w:tcPr>
            <w:tcW w:type="dxa" w:w="2016"/>
            <w:vAlign w:val="center"/>
          </w:tcPr>
          <w:p>
            <w:r/>
            <w:r>
              <w:rPr>
                <w:rFonts w:ascii="Arial" w:hAnsi="Arial" w:eastAsia="Arial"/>
                <w:b w:val="0"/>
                <w:sz w:val="20"/>
              </w:rPr>
              <w:t>0</w:t>
            </w:r>
          </w:p>
        </w:tc>
      </w:tr>
      <w:tr>
        <w:tc>
          <w:tcPr>
            <w:tcW w:type="dxa" w:w="2016"/>
            <w:vAlign w:val="center"/>
          </w:tcPr>
          <w:p>
            <w:r/>
            <w:r>
              <w:rPr>
                <w:rFonts w:ascii="Arial" w:hAnsi="Arial" w:eastAsia="Arial"/>
                <w:b w:val="0"/>
                <w:sz w:val="20"/>
              </w:rPr>
              <w:t>TỔNG</w:t>
            </w:r>
          </w:p>
        </w:tc>
        <w:tc>
          <w:tcPr>
            <w:tcW w:type="dxa" w:w="2016"/>
            <w:vAlign w:val="center"/>
          </w:tcPr>
          <w:p>
            <w:r/>
            <w:r>
              <w:rPr>
                <w:rFonts w:ascii="Arial" w:hAnsi="Arial" w:eastAsia="Arial"/>
                <w:b w:val="0"/>
                <w:sz w:val="20"/>
              </w:rPr>
              <w:t>100</w:t>
            </w:r>
          </w:p>
        </w:tc>
        <w:tc>
          <w:tcPr>
            <w:tcW w:type="dxa" w:w="2016"/>
            <w:vAlign w:val="center"/>
          </w:tcPr>
          <w:p>
            <w:r/>
            <w:r>
              <w:rPr>
                <w:rFonts w:ascii="Arial" w:hAnsi="Arial" w:eastAsia="Arial"/>
                <w:b w:val="0"/>
                <w:sz w:val="20"/>
              </w:rPr>
              <w:t>82</w:t>
            </w:r>
          </w:p>
        </w:tc>
        <w:tc>
          <w:tcPr>
            <w:tcW w:type="dxa" w:w="2016"/>
            <w:vAlign w:val="center"/>
          </w:tcPr>
          <w:p>
            <w:r/>
            <w:r>
              <w:rPr>
                <w:rFonts w:ascii="Arial" w:hAnsi="Arial" w:eastAsia="Arial"/>
                <w:b w:val="0"/>
                <w:sz w:val="20"/>
              </w:rPr>
              <w:t>82%</w:t>
            </w:r>
          </w:p>
        </w:tc>
        <w:tc>
          <w:tcPr>
            <w:tcW w:type="dxa" w:w="2016"/>
            <w:vAlign w:val="center"/>
          </w:tcPr>
          <w:p>
            <w:r/>
            <w:r>
              <w:rPr>
                <w:rFonts w:ascii="Arial" w:hAnsi="Arial" w:eastAsia="Arial"/>
                <w:b w:val="0"/>
                <w:sz w:val="20"/>
              </w:rPr>
              <w:t>3</w:t>
            </w:r>
          </w:p>
        </w:tc>
      </w:tr>
    </w:tbl>
    <w:p>
      <w:r>
        <w:t>Hội nghị tiếp nhận 100 báo cáo và có 82 báo cáo được duyệt, tương ứng tỷ lệ chung 82%. Nổi bật nhất là Khoa Công nghệ Thông tin với 42 báo cáo nộp, 38 báo cáo được duyệt và tỷ lệ duyệt 90%, đồng thời nhận 2 trong tổng số 3 Giải Nhất. Điện tử - Viễn thông đứng thứ hai về số lượng, với 28 báo cáo nộp và 22 báo cáo được duyệt. Trong khi đó, nhóm Cơ sở chung có tỷ lệ duyệt 64%, thấp hơn đáng kể so với mức trung bình toàn hội nghị. Về quy mô tham dự, hội nghị có 350 người gồm 290 sinh viên, 48 giảng viên và 12 khách mời. Từ số liệu trên, năm sau nên tăng hoạt động hướng dẫn viết báo cáo cho nhóm năm nhất, chuẩn hóa rubric phản biện từ sớm và công bố mẫu báo cáo tốt để các đơn vị có tỷ lệ duyệt thấp cải thiện chất lượng. Đồng thời nên tiếp tục duy trì cơ chế hỗ trợ các khoa có số lượng bài lớn để giảm tải khâu xét duyệt.</w:t>
      </w:r>
    </w:p>
    <w:p>
      <w:pPr>
        <w:pStyle w:val="Heading1"/>
      </w:pPr>
      <w:r>
        <w:t>Các thao tác còn lại</w:t>
      </w:r>
    </w:p>
    <w:p>
      <w:pPr>
        <w:pStyle w:val="ListBullet"/>
      </w:pPr>
      <w:r>
        <w:t>Đổi Heading 1 sang #003366: Home → Styles → chuột phải Heading 1 → Modify → Font Color → More Colors → nhập RGB 0,51,102 → OK.</w:t>
      </w:r>
    </w:p>
    <w:p>
      <w:pPr>
        <w:pStyle w:val="ListBullet"/>
      </w:pPr>
      <w:r>
        <w:t>AutoFilter: Tỷ lệ duyệt ≥ 80% và Giải Nhất ≥ 1 → kết quả chỉ có Công nghệ Thông tin.</w:t>
      </w:r>
    </w:p>
    <w:p>
      <w:pPr>
        <w:pStyle w:val="ListBullet"/>
      </w:pPr>
      <w:r>
        <w:t>VLOOKUP TG015: =IFERROR(VLOOKUP(TRIM("TG015"),DanhMucTacGia!$A$2:$E$100,5,FALSE),"Chưa cập nhật")</w:t>
      </w:r>
    </w:p>
    <w:p>
      <w:pPr>
        <w:pStyle w:val="Heading1"/>
      </w:pPr>
      <w:r>
        <w:t>Storyboard 6 slide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Arial"/>
                <w:b/>
                <w:sz w:val="20"/>
              </w:rPr>
              <w:t>Slide</w:t>
            </w:r>
          </w:p>
        </w:tc>
        <w:tc>
          <w:tcPr>
            <w:tcW w:type="dxa" w:w="3360"/>
            <w:vAlign w:val="center"/>
            <w:shd w:fill="D9EAF7"/>
          </w:tcPr>
          <w:p>
            <w:r/>
            <w:r>
              <w:rPr>
                <w:rFonts w:ascii="Arial" w:hAnsi="Arial" w:eastAsia="Arial"/>
                <w:b/>
                <w:sz w:val="20"/>
              </w:rPr>
              <w:t>Assertion Title</w:t>
            </w:r>
          </w:p>
        </w:tc>
        <w:tc>
          <w:tcPr>
            <w:tcW w:type="dxa" w:w="3360"/>
            <w:vAlign w:val="center"/>
            <w:shd w:fill="D9EAF7"/>
          </w:tcPr>
          <w:p>
            <w:r/>
            <w:r>
              <w:rPr>
                <w:rFonts w:ascii="Arial" w:hAnsi="Arial" w:eastAsia="Arial"/>
                <w:b/>
                <w:sz w:val="20"/>
              </w:rPr>
              <w:t>Visual</w:t>
            </w:r>
          </w:p>
        </w:tc>
      </w:tr>
      <w:tr>
        <w:tc>
          <w:tcPr>
            <w:tcW w:type="dxa" w:w="3360"/>
            <w:vAlign w:val="center"/>
          </w:tcPr>
          <w:p>
            <w:r/>
            <w:r>
              <w:rPr>
                <w:rFonts w:ascii="Arial" w:hAnsi="Arial" w:eastAsia="Arial"/>
                <w:b w:val="0"/>
                <w:sz w:val="20"/>
              </w:rPr>
              <w:t>1</w:t>
            </w:r>
          </w:p>
        </w:tc>
        <w:tc>
          <w:tcPr>
            <w:tcW w:type="dxa" w:w="3360"/>
            <w:vAlign w:val="center"/>
          </w:tcPr>
          <w:p>
            <w:r/>
            <w:r>
              <w:rPr>
                <w:rFonts w:ascii="Arial" w:hAnsi="Arial" w:eastAsia="Arial"/>
                <w:b w:val="0"/>
                <w:sz w:val="20"/>
              </w:rPr>
              <w:t>Hội nghị 2026 thu hút 350 người tham dự</w:t>
            </w:r>
          </w:p>
        </w:tc>
        <w:tc>
          <w:tcPr>
            <w:tcW w:type="dxa" w:w="3360"/>
            <w:vAlign w:val="center"/>
          </w:tcPr>
          <w:p>
            <w:r/>
            <w:r>
              <w:rPr>
                <w:rFonts w:ascii="Arial" w:hAnsi="Arial" w:eastAsia="Arial"/>
                <w:b w:val="0"/>
                <w:sz w:val="20"/>
              </w:rPr>
              <w:t>Hero numbers + ảnh</w:t>
            </w:r>
          </w:p>
        </w:tc>
      </w:tr>
      <w:tr>
        <w:tc>
          <w:tcPr>
            <w:tcW w:type="dxa" w:w="3360"/>
            <w:vAlign w:val="center"/>
          </w:tcPr>
          <w:p>
            <w:r/>
            <w:r>
              <w:rPr>
                <w:rFonts w:ascii="Arial" w:hAnsi="Arial" w:eastAsia="Arial"/>
                <w:b w:val="0"/>
                <w:sz w:val="20"/>
              </w:rPr>
              <w:t>2</w:t>
            </w:r>
          </w:p>
        </w:tc>
        <w:tc>
          <w:tcPr>
            <w:tcW w:type="dxa" w:w="3360"/>
            <w:vAlign w:val="center"/>
          </w:tcPr>
          <w:p>
            <w:r/>
            <w:r>
              <w:rPr>
                <w:rFonts w:ascii="Arial" w:hAnsi="Arial" w:eastAsia="Arial"/>
                <w:b w:val="0"/>
                <w:sz w:val="20"/>
              </w:rPr>
              <w:t>82% báo cáo đã vượt qua xét duyệt</w:t>
            </w:r>
          </w:p>
        </w:tc>
        <w:tc>
          <w:tcPr>
            <w:tcW w:type="dxa" w:w="3360"/>
            <w:vAlign w:val="center"/>
          </w:tcPr>
          <w:p>
            <w:r/>
            <w:r>
              <w:rPr>
                <w:rFonts w:ascii="Arial" w:hAnsi="Arial" w:eastAsia="Arial"/>
                <w:b w:val="0"/>
                <w:sz w:val="20"/>
              </w:rPr>
              <w:t>Donut 82/18</w:t>
            </w:r>
          </w:p>
        </w:tc>
      </w:tr>
      <w:tr>
        <w:tc>
          <w:tcPr>
            <w:tcW w:type="dxa" w:w="3360"/>
            <w:vAlign w:val="center"/>
          </w:tcPr>
          <w:p>
            <w:r/>
            <w:r>
              <w:rPr>
                <w:rFonts w:ascii="Arial" w:hAnsi="Arial" w:eastAsia="Arial"/>
                <w:b w:val="0"/>
                <w:sz w:val="20"/>
              </w:rPr>
              <w:t>3</w:t>
            </w:r>
          </w:p>
        </w:tc>
        <w:tc>
          <w:tcPr>
            <w:tcW w:type="dxa" w:w="3360"/>
            <w:vAlign w:val="center"/>
          </w:tcPr>
          <w:p>
            <w:r/>
            <w:r>
              <w:rPr>
                <w:rFonts w:ascii="Arial" w:hAnsi="Arial" w:eastAsia="Arial"/>
                <w:b w:val="0"/>
                <w:sz w:val="20"/>
              </w:rPr>
              <w:t>CNTT dẫn đầu cả số lượng và tỷ lệ duyệt</w:t>
            </w:r>
          </w:p>
        </w:tc>
        <w:tc>
          <w:tcPr>
            <w:tcW w:type="dxa" w:w="3360"/>
            <w:vAlign w:val="center"/>
          </w:tcPr>
          <w:p>
            <w:r/>
            <w:r>
              <w:rPr>
                <w:rFonts w:ascii="Arial" w:hAnsi="Arial" w:eastAsia="Arial"/>
                <w:b w:val="0"/>
                <w:sz w:val="20"/>
              </w:rPr>
              <w:t>Bar chart theo khoa</w:t>
            </w:r>
          </w:p>
        </w:tc>
      </w:tr>
      <w:tr>
        <w:tc>
          <w:tcPr>
            <w:tcW w:type="dxa" w:w="3360"/>
            <w:vAlign w:val="center"/>
          </w:tcPr>
          <w:p>
            <w:r/>
            <w:r>
              <w:rPr>
                <w:rFonts w:ascii="Arial" w:hAnsi="Arial" w:eastAsia="Arial"/>
                <w:b w:val="0"/>
                <w:sz w:val="20"/>
              </w:rPr>
              <w:t>4</w:t>
            </w:r>
          </w:p>
        </w:tc>
        <w:tc>
          <w:tcPr>
            <w:tcW w:type="dxa" w:w="3360"/>
            <w:vAlign w:val="center"/>
          </w:tcPr>
          <w:p>
            <w:r/>
            <w:r>
              <w:rPr>
                <w:rFonts w:ascii="Arial" w:hAnsi="Arial" w:eastAsia="Arial"/>
                <w:b w:val="0"/>
                <w:sz w:val="20"/>
              </w:rPr>
              <w:t>3 Giải Nhất tập trung ở hai khối kỹ thuật</w:t>
            </w:r>
          </w:p>
        </w:tc>
        <w:tc>
          <w:tcPr>
            <w:tcW w:type="dxa" w:w="3360"/>
            <w:vAlign w:val="center"/>
          </w:tcPr>
          <w:p>
            <w:r/>
            <w:r>
              <w:rPr>
                <w:rFonts w:ascii="Arial" w:hAnsi="Arial" w:eastAsia="Arial"/>
                <w:b w:val="0"/>
                <w:sz w:val="20"/>
              </w:rPr>
              <w:t>Bar/Icons</w:t>
            </w:r>
          </w:p>
        </w:tc>
      </w:tr>
      <w:tr>
        <w:tc>
          <w:tcPr>
            <w:tcW w:type="dxa" w:w="3360"/>
            <w:vAlign w:val="center"/>
          </w:tcPr>
          <w:p>
            <w:r/>
            <w:r>
              <w:rPr>
                <w:rFonts w:ascii="Arial" w:hAnsi="Arial" w:eastAsia="Arial"/>
                <w:b w:val="0"/>
                <w:sz w:val="20"/>
              </w:rPr>
              <w:t>5</w:t>
            </w:r>
          </w:p>
        </w:tc>
        <w:tc>
          <w:tcPr>
            <w:tcW w:type="dxa" w:w="3360"/>
            <w:vAlign w:val="center"/>
          </w:tcPr>
          <w:p>
            <w:r/>
            <w:r>
              <w:rPr>
                <w:rFonts w:ascii="Arial" w:hAnsi="Arial" w:eastAsia="Arial"/>
                <w:b w:val="0"/>
                <w:sz w:val="20"/>
              </w:rPr>
              <w:t>Nhóm năm 1 cần hỗ trợ để nâng tỷ lệ duyệt từ 64%</w:t>
            </w:r>
          </w:p>
        </w:tc>
        <w:tc>
          <w:tcPr>
            <w:tcW w:type="dxa" w:w="3360"/>
            <w:vAlign w:val="center"/>
          </w:tcPr>
          <w:p>
            <w:r/>
            <w:r>
              <w:rPr>
                <w:rFonts w:ascii="Arial" w:hAnsi="Arial" w:eastAsia="Arial"/>
                <w:b w:val="0"/>
                <w:sz w:val="20"/>
              </w:rPr>
              <w:t>Bar highlight</w:t>
            </w:r>
          </w:p>
        </w:tc>
      </w:tr>
      <w:tr>
        <w:tc>
          <w:tcPr>
            <w:tcW w:type="dxa" w:w="3360"/>
            <w:vAlign w:val="center"/>
          </w:tcPr>
          <w:p>
            <w:r/>
            <w:r>
              <w:rPr>
                <w:rFonts w:ascii="Arial" w:hAnsi="Arial" w:eastAsia="Arial"/>
                <w:b w:val="0"/>
                <w:sz w:val="20"/>
              </w:rPr>
              <w:t>6</w:t>
            </w:r>
          </w:p>
        </w:tc>
        <w:tc>
          <w:tcPr>
            <w:tcW w:type="dxa" w:w="3360"/>
            <w:vAlign w:val="center"/>
          </w:tcPr>
          <w:p>
            <w:r/>
            <w:r>
              <w:rPr>
                <w:rFonts w:ascii="Arial" w:hAnsi="Arial" w:eastAsia="Arial"/>
                <w:b w:val="0"/>
                <w:sz w:val="20"/>
              </w:rPr>
              <w:t>Năm 2027 ưu tiên chuẩn hóa hướng dẫn và rubric</w:t>
            </w:r>
          </w:p>
        </w:tc>
        <w:tc>
          <w:tcPr>
            <w:tcW w:type="dxa" w:w="3360"/>
            <w:vAlign w:val="center"/>
          </w:tcPr>
          <w:p>
            <w:r/>
            <w:r>
              <w:rPr>
                <w:rFonts w:ascii="Arial" w:hAnsi="Arial" w:eastAsia="Arial"/>
                <w:b w:val="0"/>
                <w:sz w:val="20"/>
              </w:rPr>
              <w:t>3 action cards</w:t>
            </w:r>
          </w:p>
        </w:tc>
      </w:tr>
    </w:tbl>
    <w:p>
      <w:r>
        <w:t>Không dùng Pie Chart 3D để so tỷ lệ duyệt giữa 4 khoa vì góc nhìn 3D làm méo diện tích và tỷ lệ duyệt là bốn tỷ lệ độc lập, không phải bốn phần tạo thành một tổng. Bar Chart phù hợp hơn để so sánh 90%, 79%, 79%, 64% trên cùng một trục.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