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SESSION 10 - EX01: Heading Styles &amp; Auto TOC</w:t>
      </w:r>
    </w:p>
    <w:p>
      <w:pPr>
        <w:jc w:val="center"/>
      </w:pPr>
      <w:r>
        <w:rPr>
          <w:sz w:val="20"/>
        </w:rPr>
        <w:t>Họ và tên: Phan Huy Hưng | Lớp: CNTT1 | Môn: Nhập môn CNTT</w:t>
      </w:r>
    </w:p>
    <w:p/>
    <w:p>
      <w:pPr>
        <w:pStyle w:val="Heading1"/>
      </w:pPr>
      <w:r>
        <w:t>Phần 1. Phân tích lỗi</w:t>
      </w:r>
    </w:p>
    <w:p>
      <w:r>
        <w:t>Word không tạo mục lục dựa trên việc chữ nhìn “to” hay “đậm”. Auto TOC đọc cấu trúc Style, chủ yếu là Heading 1, Heading 2, Heading 3. Vì Nam chỉ dùng Normal rồi tăng cỡ chữ nên Word không nhận đó là tiêu đề, dẫn đến “No table of contents entries found”.</w:t>
      </w:r>
    </w:p>
    <w:p>
      <w:pPr>
        <w:pStyle w:val="ListBullet"/>
      </w:pPr>
      <w:r>
        <w:t>“1. Giới thiệu” cần gán Heading 1, không phải Normal 20 pt.</w:t>
      </w:r>
    </w:p>
    <w:p>
      <w:pPr>
        <w:pStyle w:val="ListBullet"/>
      </w:pPr>
      <w:r>
        <w:t>“2. Yêu cầu chức năng” cũng là mục cấp chương nên gán Heading 1. Các ý nhỏ bên dưới dùng Heading 2.</w:t>
      </w:r>
    </w:p>
    <w:p>
      <w:pPr>
        <w:pStyle w:val="ListBullet"/>
      </w:pPr>
      <w:r>
        <w:t>Đoạn văn dài 5 trang bị gán Heading 1 là sai vì Word coi toàn bộ đoạn đó là một mục tiêu đề và đưa nó vào TOC.</w:t>
      </w:r>
    </w:p>
    <w:p>
      <w:pPr>
        <w:pStyle w:val="Heading1"/>
      </w:pPr>
      <w:r>
        <w:t>Phần 2. Cách sửa</w:t>
      </w:r>
    </w:p>
    <w:p>
      <w:pPr>
        <w:pStyle w:val="ListNumber"/>
      </w:pPr>
      <w:r>
        <w:t>Chọn từng tiêu đề cấp chương và gán Heading 1; mục con gán Heading 2; chi tiết nhỏ gán Heading 3.</w:t>
      </w:r>
    </w:p>
    <w:p>
      <w:pPr>
        <w:pStyle w:val="ListNumber"/>
      </w:pPr>
      <w:r>
        <w:t>Chọn đoạn văn 5 trang bị gán nhầm và đưa về Normal bằng Ctrl + Shift + N.</w:t>
      </w:r>
    </w:p>
    <w:p>
      <w:pPr>
        <w:pStyle w:val="ListNumber"/>
      </w:pPr>
      <w:r>
        <w:t>Vào References → Table of Contents → Automatic Table để chèn mục lục tự động.</w:t>
      </w:r>
    </w:p>
    <w:p>
      <w:pPr>
        <w:pStyle w:val="ListNumber"/>
      </w:pPr>
      <w:r>
        <w:t>Khi thêm nội dung làm đổi số trang, bấm vào TOC → Update Table → Update entire table (hoặc F9) để cập nhật cả tên mục và số trang.</w:t>
      </w:r>
    </w:p>
    <w:p>
      <w:pPr>
        <w:pStyle w:val="ListNumber"/>
      </w:pPr>
      <w:r>
        <w:t>Muốn đổi màu toàn bộ Heading 1, chỉ cần Modify style Heading 1 một lần thay vì sửa từng tiêu đề.</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eastAsia="Arial"/>
                <w:b/>
                <w:sz w:val="20"/>
              </w:rPr>
              <w:t>Cấp</w:t>
            </w:r>
          </w:p>
        </w:tc>
        <w:tc>
          <w:tcPr>
            <w:tcW w:type="dxa" w:w="3360"/>
            <w:vAlign w:val="center"/>
            <w:shd w:fill="D9EAF7"/>
          </w:tcPr>
          <w:p>
            <w:r/>
            <w:r>
              <w:rPr>
                <w:rFonts w:ascii="Arial" w:hAnsi="Arial" w:eastAsia="Arial"/>
                <w:b/>
                <w:sz w:val="20"/>
              </w:rPr>
              <w:t>Ví dụ</w:t>
            </w:r>
          </w:p>
        </w:tc>
        <w:tc>
          <w:tcPr>
            <w:tcW w:type="dxa" w:w="3360"/>
            <w:vAlign w:val="center"/>
            <w:shd w:fill="D9EAF7"/>
          </w:tcPr>
          <w:p>
            <w:r/>
            <w:r>
              <w:rPr>
                <w:rFonts w:ascii="Arial" w:hAnsi="Arial" w:eastAsia="Arial"/>
                <w:b/>
                <w:sz w:val="20"/>
              </w:rPr>
              <w:t>Style</w:t>
            </w:r>
          </w:p>
        </w:tc>
      </w:tr>
      <w:tr>
        <w:tc>
          <w:tcPr>
            <w:tcW w:type="dxa" w:w="3360"/>
            <w:vAlign w:val="center"/>
          </w:tcPr>
          <w:p>
            <w:r/>
            <w:r>
              <w:rPr>
                <w:rFonts w:ascii="Arial" w:hAnsi="Arial" w:eastAsia="Arial"/>
                <w:b w:val="0"/>
                <w:sz w:val="20"/>
              </w:rPr>
              <w:t>Chương</w:t>
            </w:r>
          </w:p>
        </w:tc>
        <w:tc>
          <w:tcPr>
            <w:tcW w:type="dxa" w:w="3360"/>
            <w:vAlign w:val="center"/>
          </w:tcPr>
          <w:p>
            <w:r/>
            <w:r>
              <w:rPr>
                <w:rFonts w:ascii="Arial" w:hAnsi="Arial" w:eastAsia="Arial"/>
                <w:b w:val="0"/>
                <w:sz w:val="20"/>
              </w:rPr>
              <w:t>1. Giới thiệu</w:t>
            </w:r>
          </w:p>
        </w:tc>
        <w:tc>
          <w:tcPr>
            <w:tcW w:type="dxa" w:w="3360"/>
            <w:vAlign w:val="center"/>
          </w:tcPr>
          <w:p>
            <w:r/>
            <w:r>
              <w:rPr>
                <w:rFonts w:ascii="Arial" w:hAnsi="Arial" w:eastAsia="Arial"/>
                <w:b w:val="0"/>
                <w:sz w:val="20"/>
              </w:rPr>
              <w:t>Heading 1</w:t>
            </w:r>
          </w:p>
        </w:tc>
      </w:tr>
      <w:tr>
        <w:tc>
          <w:tcPr>
            <w:tcW w:type="dxa" w:w="3360"/>
            <w:vAlign w:val="center"/>
          </w:tcPr>
          <w:p>
            <w:r/>
            <w:r>
              <w:rPr>
                <w:rFonts w:ascii="Arial" w:hAnsi="Arial" w:eastAsia="Arial"/>
                <w:b w:val="0"/>
                <w:sz w:val="20"/>
              </w:rPr>
              <w:t>Mục con</w:t>
            </w:r>
          </w:p>
        </w:tc>
        <w:tc>
          <w:tcPr>
            <w:tcW w:type="dxa" w:w="3360"/>
            <w:vAlign w:val="center"/>
          </w:tcPr>
          <w:p>
            <w:r/>
            <w:r>
              <w:rPr>
                <w:rFonts w:ascii="Arial" w:hAnsi="Arial" w:eastAsia="Arial"/>
                <w:b w:val="0"/>
                <w:sz w:val="20"/>
              </w:rPr>
              <w:t>1.1. Phạm vi</w:t>
            </w:r>
          </w:p>
        </w:tc>
        <w:tc>
          <w:tcPr>
            <w:tcW w:type="dxa" w:w="3360"/>
            <w:vAlign w:val="center"/>
          </w:tcPr>
          <w:p>
            <w:r/>
            <w:r>
              <w:rPr>
                <w:rFonts w:ascii="Arial" w:hAnsi="Arial" w:eastAsia="Arial"/>
                <w:b w:val="0"/>
                <w:sz w:val="20"/>
              </w:rPr>
              <w:t>Heading 2</w:t>
            </w:r>
          </w:p>
        </w:tc>
      </w:tr>
      <w:tr>
        <w:tc>
          <w:tcPr>
            <w:tcW w:type="dxa" w:w="3360"/>
            <w:vAlign w:val="center"/>
          </w:tcPr>
          <w:p>
            <w:r/>
            <w:r>
              <w:rPr>
                <w:rFonts w:ascii="Arial" w:hAnsi="Arial" w:eastAsia="Arial"/>
                <w:b w:val="0"/>
                <w:sz w:val="20"/>
              </w:rPr>
              <w:t>Chi tiết</w:t>
            </w:r>
          </w:p>
        </w:tc>
        <w:tc>
          <w:tcPr>
            <w:tcW w:type="dxa" w:w="3360"/>
            <w:vAlign w:val="center"/>
          </w:tcPr>
          <w:p>
            <w:r/>
            <w:r>
              <w:rPr>
                <w:rFonts w:ascii="Arial" w:hAnsi="Arial" w:eastAsia="Arial"/>
                <w:b w:val="0"/>
                <w:sz w:val="20"/>
              </w:rPr>
              <w:t>1.1.1. Đối tượng</w:t>
            </w:r>
          </w:p>
        </w:tc>
        <w:tc>
          <w:tcPr>
            <w:tcW w:type="dxa" w:w="3360"/>
            <w:vAlign w:val="center"/>
          </w:tcPr>
          <w:p>
            <w:r/>
            <w:r>
              <w:rPr>
                <w:rFonts w:ascii="Arial" w:hAnsi="Arial" w:eastAsia="Arial"/>
                <w:b w:val="0"/>
                <w:sz w:val="20"/>
              </w:rPr>
              <w:t>Heading 3</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