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PAYKX - SRS MODULE HOÀN TIỀN</w:t>
      </w:r>
    </w:p>
    <w:p>
      <w:pPr>
        <w:jc w:val="center"/>
      </w:pPr>
      <w:r>
        <w:rPr>
          <w:sz w:val="20"/>
        </w:rPr>
        <w:t>Phan Huy Hưng | CNTT1 | Nhập môn CNTT</w:t>
      </w:r>
    </w:p>
    <w:p>
      <w:pPr>
        <w:jc w:val="center"/>
      </w:pPr>
      <w:r>
        <w:rPr>
          <w:i/>
        </w:rPr>
        <w:t>Tài liệu đặc tả yêu cầu phần mềm</w:t>
      </w:r>
    </w:p>
    <w:p/>
    <w:p>
      <w:pPr>
        <w:pStyle w:val="Heading1"/>
      </w:pPr>
      <w:r>
        <w:t>Mục lục</w:t>
      </w:r>
    </w:p>
    <w:p>
      <w:r>
        <w:fldChar w:fldCharType="begin"/>
        <w:instrText xml:space="preserve">TOC \o "1-2" \h \z \u</w:instrText>
        <w:fldChar w:fldCharType="separate"/>
        <w:t>Mục lục sẽ được cập nhật khi mở file trong Microsoft Word.</w:t>
        <w:fldChar w:fldCharType="end"/>
      </w:r>
    </w:p>
    <w:p>
      <w:r>
        <w:br w:type="page"/>
      </w:r>
    </w:p>
    <w:p>
      <w:pPr>
        <w:pStyle w:val="Heading1"/>
      </w:pPr>
      <w:r>
        <w:t>1. Giới thiệu</w:t>
      </w:r>
    </w:p>
    <w:p>
      <w:r>
        <w:t>Phần này trình bày các yêu cầu chính của module theo cấu trúc SRS, sử dụng Heading Styles để Navigation Pane và Auto TOC hoạt động đúng.</w:t>
      </w:r>
    </w:p>
    <w:p>
      <w:pPr>
        <w:pStyle w:val="Heading2"/>
      </w:pPr>
      <w:r>
        <w:t>1.1. Mục tiêu</w:t>
      </w:r>
    </w:p>
    <w:p>
      <w:r>
        <w:t>Mô tả yêu cầu cho module hoàn tiền của ví điện tử PayKX dành cho sinh viên.</w:t>
      </w:r>
    </w:p>
    <w:p>
      <w:r>
        <w:t>Tiêu chí nghiệm thu: dữ liệu đầu vào hợp lệ, có thông báo rõ khi thiếu dữ liệu và kết quả được ghi vào báo cáo đối soát.</w:t>
      </w:r>
    </w:p>
    <w:p>
      <w:pPr>
        <w:pStyle w:val="Heading2"/>
      </w:pPr>
      <w:r>
        <w:t>1.2. Phạm vi</w:t>
      </w:r>
    </w:p>
    <w:p>
      <w:r>
        <w:t>Module xử lý giao dịch nạp điện thoại, tính hoàn tiền và ghi nhận đối soát ngân hàng.</w:t>
      </w:r>
    </w:p>
    <w:p>
      <w:r>
        <w:t>Tiêu chí nghiệm thu: dữ liệu đầu vào hợp lệ, có thông báo rõ khi thiếu dữ liệu và kết quả được ghi vào báo cáo đối soát.</w:t>
      </w:r>
    </w:p>
    <w:p>
      <w:r>
        <w:br w:type="page"/>
      </w:r>
    </w:p>
    <w:p>
      <w:pPr>
        <w:pStyle w:val="Heading1"/>
      </w:pPr>
      <w:r>
        <w:t>2. Tổng quan hệ thống</w:t>
      </w:r>
    </w:p>
    <w:p>
      <w:r>
        <w:t>Phần này trình bày các yêu cầu chính của module theo cấu trúc SRS, sử dụng Heading Styles để Navigation Pane và Auto TOC hoạt động đúng.</w:t>
      </w:r>
    </w:p>
    <w:p>
      <w:pPr>
        <w:pStyle w:val="Heading2"/>
      </w:pPr>
      <w:r>
        <w:t>2.1. Tác nhân</w:t>
      </w:r>
    </w:p>
    <w:p>
      <w:r>
        <w:t>Sinh viên, hệ thống PayKX, đối tác ngân hàng và quản trị viên.</w:t>
      </w:r>
    </w:p>
    <w:p>
      <w:r>
        <w:t>Tiêu chí nghiệm thu: dữ liệu đầu vào hợp lệ, có thông báo rõ khi thiếu dữ liệu và kết quả được ghi vào báo cáo đối soát.</w:t>
      </w:r>
    </w:p>
    <w:p>
      <w:pPr>
        <w:pStyle w:val="Heading2"/>
      </w:pPr>
      <w:r>
        <w:t>2.2. Luồng dữ liệu</w:t>
      </w:r>
    </w:p>
    <w:p>
      <w:r>
        <w:t>Giao dịch được ghi nhận, đối soát phí, tính hoàn tiền và tổng hợp doanh thu ròng.</w:t>
      </w:r>
    </w:p>
    <w:p>
      <w:r>
        <w:t>Tiêu chí nghiệm thu: dữ liệu đầu vào hợp lệ, có thông báo rõ khi thiếu dữ liệu và kết quả được ghi vào báo cáo đối soát.</w:t>
      </w:r>
    </w:p>
    <w:p>
      <w:r>
        <w:br w:type="page"/>
      </w:r>
    </w:p>
    <w:p>
      <w:pPr>
        <w:pStyle w:val="Heading1"/>
      </w:pPr>
      <w:r>
        <w:t>3. Yêu cầu chức năng</w:t>
      </w:r>
    </w:p>
    <w:p>
      <w:r>
        <w:t>Phần này trình bày các yêu cầu chính của module theo cấu trúc SRS, sử dụng Heading Styles để Navigation Pane và Auto TOC hoạt động đúng.</w:t>
      </w:r>
    </w:p>
    <w:p>
      <w:pPr>
        <w:pStyle w:val="Heading2"/>
      </w:pPr>
      <w:r>
        <w:t>3.1. Ghi nhận giao dịch</w:t>
      </w:r>
    </w:p>
    <w:p>
      <w:r>
        <w:t>Hệ thống phải lưu mã giao dịch, mã người dùng, loại giao dịch, số tiền và thời gian.</w:t>
      </w:r>
    </w:p>
    <w:p>
      <w:r>
        <w:t>Tiêu chí nghiệm thu: dữ liệu đầu vào hợp lệ, có thông báo rõ khi thiếu dữ liệu và kết quả được ghi vào báo cáo đối soát.</w:t>
      </w:r>
    </w:p>
    <w:p>
      <w:pPr>
        <w:pStyle w:val="Heading2"/>
      </w:pPr>
      <w:r>
        <w:t>3.2. Tính hoàn tiền</w:t>
      </w:r>
    </w:p>
    <w:p>
      <w:r>
        <w:t>Với giao dịch đủ điều kiện, hệ thống tính mức hoàn tiền theo chương trình ưu đãi.</w:t>
      </w:r>
    </w:p>
    <w:p>
      <w:r>
        <w:t>Tiêu chí nghiệm thu: dữ liệu đầu vào hợp lệ, có thông báo rõ khi thiếu dữ liệu và kết quả được ghi vào báo cáo đối soát.</w:t>
      </w:r>
    </w:p>
    <w:p>
      <w:pPr>
        <w:pStyle w:val="Heading2"/>
      </w:pPr>
      <w:r>
        <w:t>3.3. Đối soát phí</w:t>
      </w:r>
    </w:p>
    <w:p>
      <w:r>
        <w:t>Hệ thống so sánh phí đối tác với dữ liệu nội bộ và đánh dấu giao dịch lệch.</w:t>
      </w:r>
    </w:p>
    <w:p>
      <w:r>
        <w:t>Tiêu chí nghiệm thu: dữ liệu đầu vào hợp lệ, có thông báo rõ khi thiếu dữ liệu và kết quả được ghi vào báo cáo đối soát.</w:t>
      </w:r>
    </w:p>
    <w:p>
      <w:pPr>
        <w:pStyle w:val="Heading2"/>
      </w:pPr>
      <w:r>
        <w:t>3.4. Tra cứu người dùng</w:t>
      </w:r>
    </w:p>
    <w:p>
      <w:r>
        <w:t>Tên người dùng được tra cứu từ mã user sau khi dữ liệu được làm sạch.</w:t>
      </w:r>
    </w:p>
    <w:p>
      <w:r>
        <w:t>Tiêu chí nghiệm thu: dữ liệu đầu vào hợp lệ, có thông báo rõ khi thiếu dữ liệu và kết quả được ghi vào báo cáo đối soát.</w:t>
      </w:r>
    </w:p>
    <w:p>
      <w:r>
        <w:br w:type="page"/>
      </w:r>
    </w:p>
    <w:p>
      <w:pPr>
        <w:pStyle w:val="Heading1"/>
      </w:pPr>
      <w:r>
        <w:t>4. Yêu cầu phi chức năng</w:t>
      </w:r>
    </w:p>
    <w:p>
      <w:r>
        <w:t>Phần này trình bày các yêu cầu chính của module theo cấu trúc SRS, sử dụng Heading Styles để Navigation Pane và Auto TOC hoạt động đúng.</w:t>
      </w:r>
    </w:p>
    <w:p>
      <w:pPr>
        <w:pStyle w:val="Heading2"/>
      </w:pPr>
      <w:r>
        <w:t>4.1. Bảo mật</w:t>
      </w:r>
    </w:p>
    <w:p>
      <w:r>
        <w:t>Dữ liệu giao dịch phải được phân quyền và không hiển thị thông tin nhạy cảm cho người không có quyền.</w:t>
      </w:r>
    </w:p>
    <w:p>
      <w:r>
        <w:t>Tiêu chí nghiệm thu: dữ liệu đầu vào hợp lệ, có thông báo rõ khi thiếu dữ liệu và kết quả được ghi vào báo cáo đối soát.</w:t>
      </w:r>
    </w:p>
    <w:p>
      <w:pPr>
        <w:pStyle w:val="Heading2"/>
      </w:pPr>
      <w:r>
        <w:t>4.2. Hiệu năng</w:t>
      </w:r>
    </w:p>
    <w:p>
      <w:r>
        <w:t>Báo cáo tháng phải mở và lọc trong thời gian ngắn với dữ liệu hàng nghìn giao dịch.</w:t>
      </w:r>
    </w:p>
    <w:p>
      <w:r>
        <w:t>Tiêu chí nghiệm thu: dữ liệu đầu vào hợp lệ, có thông báo rõ khi thiếu dữ liệu và kết quả được ghi vào báo cáo đối soát.</w:t>
      </w:r>
    </w:p>
    <w:p>
      <w:pPr>
        <w:pStyle w:val="Heading2"/>
      </w:pPr>
      <w:r>
        <w:t>4.3. Toàn vẹn dữ liệu</w:t>
      </w:r>
    </w:p>
    <w:p>
      <w:r>
        <w:t>Mã giao dịch phải duy nhất và mọi phép tra cứu phải dùng chế độ khớp chính xác.</w:t>
      </w:r>
    </w:p>
    <w:p>
      <w:r>
        <w:t>Tiêu chí nghiệm thu: dữ liệu đầu vào hợp lệ, có thông báo rõ khi thiếu dữ liệu và kết quả được ghi vào báo cáo đối soát.</w:t>
      </w:r>
    </w:p>
    <w:p>
      <w:r>
        <w:br w:type="page"/>
      </w:r>
    </w:p>
    <w:p>
      <w:pPr>
        <w:pStyle w:val="Heading1"/>
      </w:pPr>
      <w:r>
        <w:t>5. Quy tắc nghiệp vụ</w:t>
      </w:r>
    </w:p>
    <w:p>
      <w:r>
        <w:t>Phần này trình bày các yêu cầu chính của module theo cấu trúc SRS, sử dụng Heading Styles để Navigation Pane và Auto TOC hoạt động đúng.</w:t>
      </w:r>
    </w:p>
    <w:p>
      <w:pPr>
        <w:pStyle w:val="Heading2"/>
      </w:pPr>
      <w:r>
        <w:t>5.1. Quy tắc hoàn tiền</w:t>
      </w:r>
    </w:p>
    <w:p>
      <w:r>
        <w:t>Mỗi giao dịch chỉ nhận hoàn tiền một lần. Giao dịch hủy không được tính doanh thu.</w:t>
      </w:r>
    </w:p>
    <w:p>
      <w:r>
        <w:t>Tiêu chí nghiệm thu: dữ liệu đầu vào hợp lệ, có thông báo rõ khi thiếu dữ liệu và kết quả được ghi vào báo cáo đối soát.</w:t>
      </w:r>
    </w:p>
    <w:p>
      <w:pPr>
        <w:pStyle w:val="Heading2"/>
      </w:pPr>
      <w:r>
        <w:t>5.2. Quy tắc đối soát</w:t>
      </w:r>
    </w:p>
    <w:p>
      <w:r>
        <w:t>Khoảng trắng thừa trong mã user phải được làm sạch trước khi tra cứu.</w:t>
      </w:r>
    </w:p>
    <w:p>
      <w:r>
        <w:t>Tiêu chí nghiệm thu: dữ liệu đầu vào hợp lệ, có thông báo rõ khi thiếu dữ liệu và kết quả được ghi vào báo cáo đối soát.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