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FASTMOVE - QUY TRÌNH VẬN HÀNH KHO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nghiệp vụ/SRS sử dụng Heading Styles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r>
        <w:t>Tài liệu hướng dẫn shipper và nhân viên kho, định dạng bằng Styles đồng nhất.</w:t>
      </w:r>
    </w:p>
    <w:p>
      <w:pPr>
        <w:pStyle w:val="Heading1"/>
      </w:pPr>
      <w:r>
        <w:t>1. Mục tiêu quy trình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1.1. Phạm vi</w:t>
      </w:r>
    </w:p>
    <w:p>
      <w:r>
        <w:t>Yêu cầu được mô tả ngắn gọn, rõ ràng và có thể kiểm thử.</w:t>
      </w:r>
    </w:p>
    <w:p>
      <w:pPr>
        <w:pStyle w:val="Heading2"/>
      </w:pPr>
      <w:r>
        <w:t>1.2. Vai trò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2. Tiếp nhận đơn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2.1. Kiểm tra mã vận đơn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2.2. Đối chiếu tuyến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3. Phân loại và bàn giao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3.1. Phân loại khu vực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3.2. Bàn giao shipper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4. Xử lý ngoại lệ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4.1. Mã không tồn tại</w:t>
      </w:r>
    </w:p>
    <w:p>
      <w:r>
        <w:t>Yêu cầu được mô tả ngắn gọn, rõ ràng và có thể kiểm thử.</w:t>
      </w:r>
    </w:p>
    <w:p>
      <w:pPr>
        <w:pStyle w:val="Heading2"/>
      </w:pPr>
      <w:r>
        <w:t>4.2. Giá cước chưa cập nhật</w:t>
      </w:r>
    </w:p>
    <w:p>
      <w:r>
        <w:t>Yêu cầu được mô tả ngắn gọn, rõ ràng và có thể kiểm thử.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