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Họ và tên: Phan Huy Hưng</w:t>
      </w:r>
    </w:p>
    <w:p>
      <w:pPr>
        <w:spacing w:after="0"/>
      </w:pPr>
      <w:r>
        <w:t>Lớp: CNTT1</w:t>
      </w:r>
    </w:p>
    <w:p>
      <w:pPr>
        <w:spacing w:after="0"/>
      </w:pPr>
      <w:r>
        <w:t>Môn học: Nhập môn CNTT (NhapMonCNTT)</w:t>
      </w:r>
    </w:p>
    <w:p>
      <w:pPr>
        <w:spacing w:after="0"/>
      </w:pPr>
      <w:r>
        <w:t>Bài: Session16 - Ex10</w:t>
      </w:r>
    </w:p>
    <w:p>
      <w:pPr>
        <w:spacing w:before="180" w:after="200"/>
        <w:jc w:val="center"/>
      </w:pPr>
      <w:r>
        <w:rPr>
          <w:b/>
          <w:sz w:val="26"/>
        </w:rPr>
        <w:t>KIỂM SOÁT BROWSER EXTENSIONS TRÊN MÁY TRẠM Y TẾ</w:t>
      </w:r>
    </w:p>
    <w:p>
      <w:pPr>
        <w:keepNext/>
        <w:spacing w:before="100" w:after="40"/>
      </w:pPr>
      <w:r>
        <w:rPr>
          <w:b/>
        </w:rPr>
        <w:t>Phần 1. Hai giải pháp kỹ thuật</w:t>
      </w:r>
    </w:p>
    <w:p>
      <w:pPr>
        <w:keepNext/>
        <w:spacing w:before="100" w:after="40"/>
      </w:pPr>
      <w:r>
        <w:rPr>
          <w:b/>
        </w:rPr>
        <w:t>1. Giải pháp mở, tự do</w:t>
      </w:r>
    </w:p>
    <w:p>
      <w:pPr>
        <w:keepLines/>
      </w:pPr>
      <w:r>
        <w:t>Nhân viên tự cài mọi tiện ích từ Chrome Web Store và để quyền On all sites. Cách này thao tác rất nhanh, các công cụ như Dark Reader hay JSON Viewer có thể tự chạy. Tuy nhiên nhiều tiện ích có thể được quyền đọc nội dung trang, gây rủi ro đối với dữ liệu bệnh án. Cài quá nhiều cũng có thể làm máy trạm 8GB RAM hoạt động chậm.</w:t>
      </w:r>
    </w:p>
    <w:p>
      <w:pPr>
        <w:keepNext/>
        <w:spacing w:before="100" w:after="40"/>
      </w:pPr>
      <w:r>
        <w:rPr>
          <w:b/>
        </w:rPr>
        <w:t>2. Giải pháp chuẩn hóa và cô lập quyền</w:t>
      </w:r>
    </w:p>
    <w:p>
      <w:pPr>
        <w:keepLines/>
      </w:pPr>
      <w:r>
        <w:t>Phòng CNTT lập danh mục Whitelisted Extensions, kiểm tra nhà phát triển, phạm vi quyền, cập nhật bảo mật và khả năng dùng Manifest V3 trước khi cài. Site Access ưu tiên On click hoặc Only on specific sites cho trang thực sự cần; với các trang chứa hồ sơ thật nên hạn chế tối đa extension có quyền đọc nội dung. Tắt/gỡ tiện ích không dùng, quản lý bằng chính sách tổ chức nếu có.</w:t>
      </w:r>
    </w:p>
    <w:p>
      <w:pPr>
        <w:keepLines/>
      </w:pPr>
      <w:r>
        <w:t>Các công cụ nêu trong đề như ColorPicker, Dark Reader, JSON Viewer, Bitwarden và uBlock Origin có thể được xem xét. Với Chrome dùng Manifest V3, cần chọn phiên bản tương thích, ví dụ uBlock Origin Lite. Dark Reader có thể làm sai màu ảnh y khoa; ColorPicker không phải thiết bị đo màu chuẩn nên không dùng để chẩn đoán bệnh.</w:t>
      </w:r>
    </w:p>
    <w:p>
      <w:pPr>
        <w:keepNext/>
        <w:spacing w:before="100" w:after="40"/>
      </w:pPr>
      <w:r>
        <w:rPr>
          <w:b/>
        </w:rPr>
        <w:t>Phần 2. So sánh và lựa chọn</w:t>
      </w:r>
    </w:p>
    <w:p>
      <w:pPr>
        <w:keepNext/>
        <w:spacing w:before="100" w:after="40"/>
      </w:pPr>
      <w:r>
        <w:rPr>
          <w:b/>
        </w:rPr>
        <w:t>3. Bảng so sánh theo bốn tiêu chí</w:t>
      </w:r>
    </w:p>
    <w:tbl>
      <w:tblPr>
        <w:tblStyle w:val="TableGrid"/>
        <w:tblW w:type="auto" w:w="0"/>
        <w:jc w:val="center"/>
        <w:tblLook w:firstColumn="1" w:firstRow="1" w:lastColumn="0" w:lastRow="0" w:noHBand="0" w:noVBand="1" w:val="04A0"/>
      </w:tblPr>
      <w:tblGrid>
        <w:gridCol w:w="3194"/>
        <w:gridCol w:w="3194"/>
        <w:gridCol w:w="3194"/>
      </w:tblGrid>
      <w:tr>
        <w:trPr>
          <w:cantSplit/>
        </w:trPr>
        <w:tc>
          <w:tcPr>
            <w:tcW w:type="dxa" w:w="3194"/>
            <w:vAlign w:val="center"/>
          </w:tcPr>
          <w:p>
            <w:pPr>
              <w:spacing w:after="40" w:before="40" w:line="269" w:lineRule="auto"/>
            </w:pPr>
            <w:r>
              <w:rPr>
                <w:rFonts w:ascii="Times New Roman" w:hAnsi="Times New Roman"/>
                <w:b/>
                <w:color w:val="000000"/>
                <w:sz w:val="26"/>
              </w:rPr>
              <w:t>Tiêu chí</w:t>
            </w:r>
          </w:p>
        </w:tc>
        <w:tc>
          <w:tcPr>
            <w:tcW w:type="dxa" w:w="3194"/>
            <w:vAlign w:val="center"/>
          </w:tcPr>
          <w:p>
            <w:pPr>
              <w:spacing w:after="40" w:before="40" w:line="269" w:lineRule="auto"/>
            </w:pPr>
            <w:r>
              <w:rPr>
                <w:rFonts w:ascii="Times New Roman" w:hAnsi="Times New Roman"/>
                <w:b/>
                <w:color w:val="000000"/>
                <w:sz w:val="26"/>
              </w:rPr>
              <w:t>Mở tự do / On all sites</w:t>
            </w:r>
          </w:p>
        </w:tc>
        <w:tc>
          <w:tcPr>
            <w:tcW w:type="dxa" w:w="3194"/>
            <w:vAlign w:val="center"/>
          </w:tcPr>
          <w:p>
            <w:pPr>
              <w:spacing w:after="40" w:before="40" w:line="269" w:lineRule="auto"/>
            </w:pPr>
            <w:r>
              <w:rPr>
                <w:rFonts w:ascii="Times New Roman" w:hAnsi="Times New Roman"/>
                <w:b/>
                <w:color w:val="000000"/>
                <w:sz w:val="26"/>
              </w:rPr>
              <w:t>Chuẩn hóa / On click</w:t>
            </w:r>
          </w:p>
        </w:tc>
      </w:tr>
      <w:tr>
        <w:trPr>
          <w:cantSplit/>
        </w:trPr>
        <w:tc>
          <w:tcPr>
            <w:tcW w:type="dxa" w:w="3194"/>
            <w:vAlign w:val="center"/>
          </w:tcPr>
          <w:p>
            <w:pPr>
              <w:spacing w:after="40" w:before="40" w:line="269" w:lineRule="auto"/>
            </w:pPr>
            <w:r>
              <w:rPr>
                <w:rFonts w:ascii="Times New Roman" w:hAnsi="Times New Roman"/>
                <w:color w:val="000000"/>
                <w:sz w:val="26"/>
              </w:rPr>
              <w:t>Bảo mật bệnh án</w:t>
            </w:r>
          </w:p>
        </w:tc>
        <w:tc>
          <w:tcPr>
            <w:tcW w:type="dxa" w:w="3194"/>
            <w:vAlign w:val="center"/>
          </w:tcPr>
          <w:p>
            <w:pPr>
              <w:spacing w:after="40" w:before="40" w:line="269" w:lineRule="auto"/>
            </w:pPr>
            <w:r>
              <w:rPr>
                <w:rFonts w:ascii="Times New Roman" w:hAnsi="Times New Roman"/>
                <w:color w:val="000000"/>
                <w:sz w:val="26"/>
              </w:rPr>
              <w:t>Rủi ro cao: tiện ích được phép đọc nhiều trang.</w:t>
            </w:r>
          </w:p>
        </w:tc>
        <w:tc>
          <w:tcPr>
            <w:tcW w:type="dxa" w:w="3194"/>
            <w:vAlign w:val="center"/>
          </w:tcPr>
          <w:p>
            <w:pPr>
              <w:spacing w:after="40" w:before="40" w:line="269" w:lineRule="auto"/>
            </w:pPr>
            <w:r>
              <w:rPr>
                <w:rFonts w:ascii="Times New Roman" w:hAnsi="Times New Roman"/>
                <w:color w:val="000000"/>
                <w:sz w:val="26"/>
              </w:rPr>
              <w:t>Rủi ro thấp hơn nhờ giới hạn quyền và danh mục cho phép; không bảo đảm tuyệt đối.</w:t>
            </w:r>
          </w:p>
        </w:tc>
      </w:tr>
      <w:tr>
        <w:trPr>
          <w:cantSplit/>
        </w:trPr>
        <w:tc>
          <w:tcPr>
            <w:tcW w:type="dxa" w:w="3194"/>
            <w:vAlign w:val="center"/>
          </w:tcPr>
          <w:p>
            <w:pPr>
              <w:spacing w:after="40" w:before="40" w:line="269" w:lineRule="auto"/>
            </w:pPr>
            <w:r>
              <w:rPr>
                <w:rFonts w:ascii="Times New Roman" w:hAnsi="Times New Roman"/>
                <w:color w:val="000000"/>
                <w:sz w:val="26"/>
              </w:rPr>
              <w:t>RAM và tốc độ</w:t>
            </w:r>
          </w:p>
        </w:tc>
        <w:tc>
          <w:tcPr>
            <w:tcW w:type="dxa" w:w="3194"/>
            <w:vAlign w:val="center"/>
          </w:tcPr>
          <w:p>
            <w:pPr>
              <w:spacing w:after="40" w:before="40" w:line="269" w:lineRule="auto"/>
            </w:pPr>
            <w:r>
              <w:rPr>
                <w:rFonts w:ascii="Times New Roman" w:hAnsi="Times New Roman"/>
                <w:color w:val="000000"/>
                <w:sz w:val="26"/>
              </w:rPr>
              <w:t>Dễ có nhiều tiến trình/tiện ích hoạt động.</w:t>
            </w:r>
          </w:p>
        </w:tc>
        <w:tc>
          <w:tcPr>
            <w:tcW w:type="dxa" w:w="3194"/>
            <w:vAlign w:val="center"/>
          </w:tcPr>
          <w:p>
            <w:pPr>
              <w:spacing w:after="40" w:before="40" w:line="269" w:lineRule="auto"/>
            </w:pPr>
            <w:r>
              <w:rPr>
                <w:rFonts w:ascii="Times New Roman" w:hAnsi="Times New Roman"/>
                <w:color w:val="000000"/>
                <w:sz w:val="26"/>
              </w:rPr>
              <w:t>Ít tiện ích, có thể tắt khi không dùng; vẫn cần đo thực tế.</w:t>
            </w:r>
          </w:p>
        </w:tc>
      </w:tr>
      <w:tr>
        <w:trPr>
          <w:cantSplit/>
        </w:trPr>
        <w:tc>
          <w:tcPr>
            <w:tcW w:type="dxa" w:w="3194"/>
            <w:vAlign w:val="center"/>
          </w:tcPr>
          <w:p>
            <w:pPr>
              <w:spacing w:after="40" w:before="40" w:line="269" w:lineRule="auto"/>
            </w:pPr>
            <w:r>
              <w:rPr>
                <w:rFonts w:ascii="Times New Roman" w:hAnsi="Times New Roman"/>
                <w:color w:val="000000"/>
                <w:sz w:val="26"/>
              </w:rPr>
              <w:t>Thuận tiện</w:t>
            </w:r>
          </w:p>
        </w:tc>
        <w:tc>
          <w:tcPr>
            <w:tcW w:type="dxa" w:w="3194"/>
            <w:vAlign w:val="center"/>
          </w:tcPr>
          <w:p>
            <w:pPr>
              <w:spacing w:after="40" w:before="40" w:line="269" w:lineRule="auto"/>
            </w:pPr>
            <w:r>
              <w:rPr>
                <w:rFonts w:ascii="Times New Roman" w:hAnsi="Times New Roman"/>
                <w:color w:val="000000"/>
                <w:sz w:val="26"/>
              </w:rPr>
              <w:t>Tiện, ít thao tác.</w:t>
            </w:r>
          </w:p>
        </w:tc>
        <w:tc>
          <w:tcPr>
            <w:tcW w:type="dxa" w:w="3194"/>
            <w:vAlign w:val="center"/>
          </w:tcPr>
          <w:p>
            <w:pPr>
              <w:spacing w:after="40" w:before="40" w:line="269" w:lineRule="auto"/>
            </w:pPr>
            <w:r>
              <w:rPr>
                <w:rFonts w:ascii="Times New Roman" w:hAnsi="Times New Roman"/>
                <w:color w:val="000000"/>
                <w:sz w:val="26"/>
              </w:rPr>
              <w:t>Cần thêm thao tác cấp quyền khi cần.</w:t>
            </w:r>
          </w:p>
        </w:tc>
      </w:tr>
      <w:tr>
        <w:trPr>
          <w:cantSplit/>
        </w:trPr>
        <w:tc>
          <w:tcPr>
            <w:tcW w:type="dxa" w:w="3194"/>
            <w:vAlign w:val="center"/>
          </w:tcPr>
          <w:p>
            <w:pPr>
              <w:spacing w:after="40" w:before="40" w:line="269" w:lineRule="auto"/>
            </w:pPr>
            <w:r>
              <w:rPr>
                <w:rFonts w:ascii="Times New Roman" w:hAnsi="Times New Roman"/>
                <w:color w:val="000000"/>
                <w:sz w:val="26"/>
              </w:rPr>
              <w:t>Rủi ro phần mềm rác</w:t>
            </w:r>
          </w:p>
        </w:tc>
        <w:tc>
          <w:tcPr>
            <w:tcW w:type="dxa" w:w="3194"/>
            <w:vAlign w:val="center"/>
          </w:tcPr>
          <w:p>
            <w:pPr>
              <w:spacing w:after="40" w:before="40" w:line="269" w:lineRule="auto"/>
            </w:pPr>
            <w:r>
              <w:rPr>
                <w:rFonts w:ascii="Times New Roman" w:hAnsi="Times New Roman"/>
                <w:color w:val="000000"/>
                <w:sz w:val="26"/>
              </w:rPr>
              <w:t>Khó kiểm soát, nhiều nguồn cài.</w:t>
            </w:r>
          </w:p>
        </w:tc>
        <w:tc>
          <w:tcPr>
            <w:tcW w:type="dxa" w:w="3194"/>
            <w:vAlign w:val="center"/>
          </w:tcPr>
          <w:p>
            <w:pPr>
              <w:spacing w:after="40" w:before="40" w:line="269" w:lineRule="auto"/>
            </w:pPr>
            <w:r>
              <w:rPr>
                <w:rFonts w:ascii="Times New Roman" w:hAnsi="Times New Roman"/>
                <w:color w:val="000000"/>
                <w:sz w:val="26"/>
              </w:rPr>
              <w:t>Dễ kiểm duyệt và cập nhật, nhưng vẫn phải rà soát định kỳ.</w:t>
            </w:r>
          </w:p>
        </w:tc>
      </w:tr>
    </w:tbl>
    <w:p>
      <w:pPr>
        <w:keepLines/>
      </w:pPr>
      <w:r>
        <w:t>Với giả định mỗi extension dùng 50–150MB RAM, 10 tiện ích có thể tiêu tốn khoảng 500–1500MB khi cùng hoạt động, tương đương khoảng 6–18% dung lượng RAM 8GB. Con số thật phụ thuộc loại tiện ích và trình duyệt; On click không đồng nghĩa chắc chắn chỉ dùng RAM sau khi bấm.</w:t>
      </w:r>
    </w:p>
    <w:p>
      <w:pPr>
        <w:keepNext/>
        <w:spacing w:before="100" w:after="40"/>
      </w:pPr>
      <w:r>
        <w:rPr>
          <w:b/>
        </w:rPr>
        <w:t>4. Quyết định</w:t>
      </w:r>
    </w:p>
    <w:p>
      <w:pPr>
        <w:keepLines/>
      </w:pPr>
      <w:r>
        <w:t>Em chọn Giải pháp 2 vì hồ sơ bệnh án phải ưu tiên quyền riêng tư hơn một lần bấm chuột. Nếu extension dịch thuật yêu cầu “Read and change all your data on all websites that you visit”, em không chấp nhận trên máy trạm y tế: tiện ích có thể được cấp khả năng đọc nội dung biểu mẫu xét nghiệm và sửa nội dung trang. Manifest V3 hay nhãn xác minh chỉ là một phần của kiểm tra, không bảo đảm 100% an toàn.</w:t>
      </w:r>
    </w:p>
    <w:p>
      <w:pPr>
        <w:keepNext/>
        <w:spacing w:before="100" w:after="40"/>
      </w:pPr>
      <w:r>
        <w:rPr>
          <w:b/>
        </w:rPr>
        <w:t>Phần 3. Quy trình triển khai bốn bước</w:t>
      </w:r>
    </w:p>
    <w:p>
      <w:pPr>
        <w:keepNext/>
        <w:spacing w:before="100" w:after="40"/>
      </w:pPr>
      <w:r>
        <w:rPr>
          <w:b/>
        </w:rPr>
        <w:t>5. Rà soát tại chrome://extensions</w:t>
      </w:r>
    </w:p>
    <w:p>
      <w:pPr>
        <w:keepLines/>
      </w:pPr>
      <w:r>
        <w:t>Bước 1: Vào chrome://extensions, ghi lại danh sách tiện ích đang cài và tắt các tiện ích giải trí, dịch thuật không được phê duyệt.</w:t>
      </w:r>
    </w:p>
    <w:p>
      <w:pPr>
        <w:keepLines/>
      </w:pPr>
      <w:r>
        <w:t>Bước 2: Gỡ các tiện ích trôi nổi hoặc yêu cầu quyền vượt quá công việc. Với tiện ích còn lại, kiểm tra nguồn, bản cập nhật và nhu cầu sử dụng.</w:t>
      </w:r>
    </w:p>
    <w:p>
      <w:pPr>
        <w:keepLines/>
      </w:pPr>
      <w:r>
        <w:t>Bước 3: Mở Details của từng tiện ích → Site access → chọn On click hoặc chỉ trang được phép. Đối với hồ sơ bệnh nhân, không cấp quyền đọc trang cho tiện ích không cần thiết; không mặc định đưa *.carepulse.vn vào danh sách cho phép nếu có dữ liệu nhạy cảm.</w:t>
      </w:r>
    </w:p>
    <w:p>
      <w:pPr>
        <w:keepLines/>
      </w:pPr>
      <w:r>
        <w:t>Bước 4: Khởi động lại Chrome, thử chức năng cần thiết, đo RAM (Shift + Esc), kiểm tra quyền lần nữa và ghi lại danh sách được phép để rà soát định kỳ. Nếu nghi lộ dữ liệu, thông báo bộ phận an toàn thông tin để xử lý tài khoản và nhật ký.</w:t>
      </w:r>
    </w:p>
    <w:sectPr w:rsidR="00FC693F" w:rsidRPr="0006063C" w:rsidSect="00034616">
      <w:pgSz w:w="11906" w:h="16838"/>
      <w:pgMar w:top="1020" w:right="1106" w:bottom="964" w:left="121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