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Mission Planning &amp; Airspace Clearance FAQ</w:t>
      </w:r>
    </w:p>
    <w:p>
      <w:r>
        <w:t>Document Code: FAQ-OPS-01 | Version: v1.0</w:t>
      </w:r>
    </w:p>
    <w:p>
      <w:r>
        <w:t>AeroPulse Avionics &amp; Autonomous Systems Inc.</w:t>
      </w:r>
    </w:p>
    <w:p>
      <w:r>
        <w:t>--------------------------------------------------</w:t>
      </w:r>
    </w:p>
    <w:p>
      <w:r>
        <w:rPr>
          <w:b/>
        </w:rPr>
        <w:t>Section Q1: How do I check local NOTAMs?</w:t>
      </w:r>
    </w:p>
    <w:p>
      <w:r>
        <w:t>Consult the FAA FAASTeam portal and AeroPulse Integrated Airspace Map before filing mission profiles.</w:t>
      </w:r>
    </w:p>
    <w:p>
      <w:r>
        <w:rPr>
          <w:b/>
        </w:rPr>
        <w:t>Section Q5: What happens if cloud ceiling drops below 1,000 feet?</w:t>
      </w:r>
    </w:p>
    <w:p>
      <w:r>
        <w:t>Flight operations must immediately transition to instrument hover hold or proceed to land.</w:t>
      </w:r>
    </w:p>
  </w:body>
</w:document>
</file>