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Customer Mission Escalation &amp; SLA Incident Management SOP</w:t>
      </w:r>
    </w:p>
    <w:p>
      <w:r>
        <w:t>Document Code: SOP-CSL-01 | Version: v1.0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1.2: Severity 1 Critical Mission Response</w:t>
      </w:r>
    </w:p>
    <w:p>
      <w:r>
        <w:t>Customer mission disruptions or ground station software freezes during live flights must be responded to within 15 minutes by an on-call Tier 3 systems engineer.</w:t>
      </w:r>
    </w:p>
    <w:p>
      <w:r>
        <w:rPr>
          <w:b/>
        </w:rPr>
        <w:t>Section 3.1: Root Cause Analysis (RCA) Submission</w:t>
      </w:r>
    </w:p>
    <w:p>
      <w:r>
        <w:t>Formal engineering RCA must be delivered to defense client liaisons within 48 hours of any mission abort.</w:t>
      </w:r>
    </w:p>
  </w:body>
</w:document>
</file>