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Remote Work Policy (Superseded)</w:t>
      </w:r>
    </w:p>
    <w:p>
      <w:r>
        <w:t>Document Code: POL-HR-02-V1 | Version: v1.0</w:t>
      </w:r>
    </w:p>
    <w:p>
      <w:r>
        <w:t>AeroPulse Avionics &amp; Autonomous Systems Inc.</w:t>
      </w:r>
    </w:p>
    <w:p>
      <w:r>
        <w:t>--------------------------------------------------</w:t>
      </w:r>
    </w:p>
    <w:p>
      <w:r>
        <w:rPr>
          <w:b/>
        </w:rPr>
        <w:t>Section 2.1: Remote Work General Guidelines (Outdated)</w:t>
      </w:r>
    </w:p>
    <w:p>
      <w:r>
        <w:t>Employees may work remotely up to 4 days per week with informal manager acknowledgment.</w:t>
      </w:r>
    </w:p>
  </w:body>
</w:document>
</file>