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8"/>
          <w:sz w:val="40"/>
          <w:szCs w:val="40"/>
        </w:rPr>
        <w:t xml:space="preserve">Technical Specification Review</w:t>
      </w:r>
    </w:p>
    <w:p>
      <w:pPr>
        <w:spacing w:after="300"/>
      </w:pPr>
      <w:r>
        <w:rPr>
          <w:i/>
          <w:iCs/>
          <w:color w:val="595959"/>
          <w:sz w:val="22"/>
          <w:szCs w:val="22"/>
        </w:rPr>
        <w:t xml:space="preserve">Document reviewed: Developer Guidelines — Urdu STT / Emotion Model Fine-Tuning (Auton8 / DeepPulse)</w:t>
      </w:r>
    </w:p>
    <w:p>
      <w:pPr>
        <w:pStyle w:val="Heading1"/>
        <w:spacing w:after="150" w:before="300"/>
      </w:pPr>
      <w:r>
        <w:t xml:space="preserve">Preliminary Note — Scope Mismatch</w:t>
      </w:r>
    </w:p>
    <w:p>
      <w:pPr>
        <w:spacing w:after="100"/>
      </w:pPr>
      <w:r>
        <w:rPr>
          <w:sz w:val="20"/>
          <w:szCs w:val="20"/>
        </w:rPr>
        <w:t xml:space="preserve">This document was written as a developer best-practices/guidelines memo, not as a system build specification. Judged against the brief's own standard — “the only specification a development team will receive before building the system” — it fails outright on that framing alone: it has no architecture, no API contracts, no infrastructure topology, and no diagrams of any kind. The critique below still applies full rigor section-by-section as instructed, but this gap is flagged up front rather than buried, per the instruction not to guess or paper over what can't be justified.</w:t>
      </w:r>
    </w:p>
    <w:p>
      <w:pPr>
        <w:pStyle w:val="Heading1"/>
        <w:spacing w:after="150" w:before="300"/>
      </w:pPr>
      <w:r>
        <w:t xml:space="preserve">1. Data Handling — Section Critique</w:t>
      </w:r>
    </w:p>
    <w:p>
      <w:pPr>
        <w:spacing w:after="40" w:before="140"/>
      </w:pPr>
      <w:r>
        <w:rPr>
          <w:b/>
          <w:bCs/>
          <w:sz w:val="20"/>
          <w:szCs w:val="20"/>
        </w:rPr>
        <w:t xml:space="preserve">1.1 “Air-gapped” is undefined</w:t>
      </w:r>
    </w:p>
    <w:p>
      <w:pPr>
        <w:spacing w:after="30"/>
        <w:ind w:left="215"/>
      </w:pPr>
      <w:r>
        <w:rPr>
          <w:b/>
          <w:bCs/>
          <w:sz w:val="19"/>
          <w:szCs w:val="19"/>
        </w:rPr>
        <w:t xml:space="preserve">Problem: </w:t>
      </w:r>
      <w:r>
        <w:rPr>
          <w:sz w:val="19"/>
          <w:szCs w:val="19"/>
        </w:rPr>
        <w:t xml:space="preserve">No definition of the air-gap boundary — physical isolation, isolated VLAN, or logical network policy are three very different implementations.</w:t>
      </w:r>
    </w:p>
    <w:p>
      <w:pPr>
        <w:spacing w:after="30"/>
        <w:ind w:left="215"/>
      </w:pPr>
      <w:r>
        <w:rPr>
          <w:b/>
          <w:bCs/>
          <w:sz w:val="19"/>
          <w:szCs w:val="19"/>
        </w:rPr>
        <w:t xml:space="preserve">Why it matters: </w:t>
      </w:r>
      <w:r>
        <w:rPr>
          <w:sz w:val="19"/>
          <w:szCs w:val="19"/>
        </w:rPr>
        <w:t xml:space="preserve">Two developers would build materially different, non-equivalent isolation mechanisms.</w:t>
      </w:r>
    </w:p>
    <w:p>
      <w:pPr>
        <w:spacing w:after="30"/>
        <w:ind w:left="215"/>
      </w:pPr>
      <w:r>
        <w:rPr>
          <w:b/>
          <w:bCs/>
          <w:sz w:val="19"/>
          <w:szCs w:val="19"/>
        </w:rPr>
        <w:t xml:space="preserve">Risk if unchanged: </w:t>
      </w:r>
      <w:r>
        <w:rPr>
          <w:sz w:val="19"/>
          <w:szCs w:val="19"/>
        </w:rPr>
        <w:t xml:space="preserve">A developer implements a weaker isolation than intended (e.g. firewall rule instead of physical air-gap) and it passes review because the term was never pinned down.</w:t>
      </w:r>
    </w:p>
    <w:p>
      <w:pPr>
        <w:spacing w:after="30"/>
        <w:ind w:left="215"/>
      </w:pPr>
      <w:r>
        <w:rPr>
          <w:b/>
          <w:bCs/>
          <w:sz w:val="19"/>
          <w:szCs w:val="19"/>
        </w:rPr>
        <w:t xml:space="preserve">Fix: </w:t>
      </w:r>
      <w:r>
        <w:rPr>
          <w:sz w:val="19"/>
          <w:szCs w:val="19"/>
        </w:rPr>
        <w:t xml:space="preserve">Define the exact boundary: network diagram, allowed ingress/egress points (if any), and which existing BAFL/Alex Bank infra pattern it must match.</w:t>
      </w:r>
    </w:p>
    <w:p>
      <w:pPr>
        <w:spacing w:after="40" w:before="140"/>
      </w:pPr>
      <w:r>
        <w:rPr>
          <w:b/>
          <w:bCs/>
          <w:sz w:val="20"/>
          <w:szCs w:val="20"/>
        </w:rPr>
        <w:t xml:space="preserve">1.2 No access control or audit logging for raw PII data</w:t>
      </w:r>
    </w:p>
    <w:p>
      <w:pPr>
        <w:spacing w:after="30"/>
        <w:ind w:left="215"/>
      </w:pPr>
      <w:r>
        <w:rPr>
          <w:b/>
          <w:bCs/>
          <w:sz w:val="19"/>
          <w:szCs w:val="19"/>
        </w:rPr>
        <w:t xml:space="preserve">Problem: </w:t>
      </w:r>
      <w:r>
        <w:rPr>
          <w:sz w:val="19"/>
          <w:szCs w:val="19"/>
        </w:rPr>
        <w:t xml:space="preserve">“Separate directories with separate access permissions” never specifies the permission model (OS ACL, cloud IAM, etc.) or an audit trail requirement.</w:t>
      </w:r>
    </w:p>
    <w:p>
      <w:pPr>
        <w:spacing w:after="30"/>
        <w:ind w:left="215"/>
      </w:pPr>
      <w:r>
        <w:rPr>
          <w:b/>
          <w:bCs/>
          <w:sz w:val="19"/>
          <w:szCs w:val="19"/>
        </w:rPr>
        <w:t xml:space="preserve">Why it matters: </w:t>
      </w:r>
      <w:r>
        <w:rPr>
          <w:sz w:val="19"/>
          <w:szCs w:val="19"/>
        </w:rPr>
        <w:t xml:space="preserve">Regulated banking data access must be attributable to a person and a timestamp, not just directory-separated.</w:t>
      </w:r>
    </w:p>
    <w:p>
      <w:pPr>
        <w:spacing w:after="30"/>
        <w:ind w:left="215"/>
      </w:pPr>
      <w:r>
        <w:rPr>
          <w:b/>
          <w:bCs/>
          <w:sz w:val="19"/>
          <w:szCs w:val="19"/>
        </w:rPr>
        <w:t xml:space="preserve">Risk if unchanged: </w:t>
      </w:r>
      <w:r>
        <w:rPr>
          <w:sz w:val="19"/>
          <w:szCs w:val="19"/>
        </w:rPr>
        <w:t xml:space="preserve">No forensic trail if raw PII is accessed or copied improperly — a compliance and incident-response gap.</w:t>
      </w:r>
    </w:p>
    <w:p>
      <w:pPr>
        <w:spacing w:after="30"/>
        <w:ind w:left="215"/>
      </w:pPr>
      <w:r>
        <w:rPr>
          <w:b/>
          <w:bCs/>
          <w:sz w:val="19"/>
          <w:szCs w:val="19"/>
        </w:rPr>
        <w:t xml:space="preserve">Fix: </w:t>
      </w:r>
      <w:r>
        <w:rPr>
          <w:sz w:val="19"/>
          <w:szCs w:val="19"/>
        </w:rPr>
        <w:t xml:space="preserve">Specify the access-control mechanism and require access logging with retention matching SBP requirements.</w:t>
      </w:r>
    </w:p>
    <w:p>
      <w:pPr>
        <w:spacing w:after="40" w:before="140"/>
      </w:pPr>
      <w:r>
        <w:rPr>
          <w:b/>
          <w:bCs/>
          <w:sz w:val="20"/>
          <w:szCs w:val="20"/>
        </w:rPr>
        <w:t xml:space="preserve">1.3 No data retention / purge policy</w:t>
      </w:r>
    </w:p>
    <w:p>
      <w:pPr>
        <w:spacing w:after="30"/>
        <w:ind w:left="215"/>
      </w:pPr>
      <w:r>
        <w:rPr>
          <w:b/>
          <w:bCs/>
          <w:sz w:val="19"/>
          <w:szCs w:val="19"/>
        </w:rPr>
        <w:t xml:space="preserve">Problem: </w:t>
      </w:r>
      <w:r>
        <w:rPr>
          <w:sz w:val="19"/>
          <w:szCs w:val="19"/>
        </w:rPr>
        <w:t xml:space="preserve">No stated retention period for raw audio containing PII, nor a purge/deletion schedule.</w:t>
      </w:r>
    </w:p>
    <w:p>
      <w:pPr>
        <w:spacing w:after="30"/>
        <w:ind w:left="215"/>
      </w:pPr>
      <w:r>
        <w:rPr>
          <w:b/>
          <w:bCs/>
          <w:sz w:val="19"/>
          <w:szCs w:val="19"/>
        </w:rPr>
        <w:t xml:space="preserve">Why it matters: </w:t>
      </w:r>
      <w:r>
        <w:rPr>
          <w:sz w:val="19"/>
          <w:szCs w:val="19"/>
        </w:rPr>
        <w:t xml:space="preserve">Regulated data typically has mandated maximum retention; “keep it forever in a separate folder” is not a compliance posture.</w:t>
      </w:r>
    </w:p>
    <w:p>
      <w:pPr>
        <w:spacing w:after="30"/>
        <w:ind w:left="215"/>
      </w:pPr>
      <w:r>
        <w:rPr>
          <w:b/>
          <w:bCs/>
          <w:sz w:val="19"/>
          <w:szCs w:val="19"/>
        </w:rPr>
        <w:t xml:space="preserve">Risk if unchanged: </w:t>
      </w:r>
      <w:r>
        <w:rPr>
          <w:sz w:val="19"/>
          <w:szCs w:val="19"/>
        </w:rPr>
        <w:t xml:space="preserve">Indefinite retention of PII-bearing raw audio becomes a regulatory liability by default, not by decision.</w:t>
      </w:r>
    </w:p>
    <w:p>
      <w:pPr>
        <w:spacing w:after="30"/>
        <w:ind w:left="215"/>
      </w:pPr>
      <w:r>
        <w:rPr>
          <w:b/>
          <w:bCs/>
          <w:sz w:val="19"/>
          <w:szCs w:val="19"/>
        </w:rPr>
        <w:t xml:space="preserve">Fix: </w:t>
      </w:r>
      <w:r>
        <w:rPr>
          <w:sz w:val="19"/>
          <w:szCs w:val="19"/>
        </w:rPr>
        <w:t xml:space="preserve">State a retention window and an automated purge mechanism, owned by a named role.</w:t>
      </w:r>
    </w:p>
    <w:p>
      <w:pPr>
        <w:spacing w:after="40" w:before="140"/>
      </w:pPr>
      <w:r>
        <w:rPr>
          <w:b/>
          <w:bCs/>
          <w:sz w:val="20"/>
          <w:szCs w:val="20"/>
        </w:rPr>
        <w:t xml:space="preserve">1.4 PII detection has no accuracy target or method</w:t>
      </w:r>
    </w:p>
    <w:p>
      <w:pPr>
        <w:spacing w:after="30"/>
        <w:ind w:left="215"/>
      </w:pPr>
      <w:r>
        <w:rPr>
          <w:b/>
          <w:bCs/>
          <w:sz w:val="19"/>
          <w:szCs w:val="19"/>
        </w:rPr>
        <w:t xml:space="preserve">Problem: </w:t>
      </w:r>
      <w:r>
        <w:rPr>
          <w:sz w:val="19"/>
          <w:szCs w:val="19"/>
        </w:rPr>
        <w:t xml:space="preserve">“Redact before data touches a training script” never says how PII is detected — regex, NER model, manual review — or what recall is required.</w:t>
      </w:r>
    </w:p>
    <w:p>
      <w:pPr>
        <w:spacing w:after="30"/>
        <w:ind w:left="215"/>
      </w:pPr>
      <w:r>
        <w:rPr>
          <w:b/>
          <w:bCs/>
          <w:sz w:val="19"/>
          <w:szCs w:val="19"/>
        </w:rPr>
        <w:t xml:space="preserve">Why it matters: </w:t>
      </w:r>
      <w:r>
        <w:rPr>
          <w:sz w:val="19"/>
          <w:szCs w:val="19"/>
        </w:rPr>
        <w:t xml:space="preserve">This is the single most compliance-critical control in the whole document, and it is the least specified.</w:t>
      </w:r>
    </w:p>
    <w:p>
      <w:pPr>
        <w:spacing w:after="30"/>
        <w:ind w:left="215"/>
      </w:pPr>
      <w:r>
        <w:rPr>
          <w:b/>
          <w:bCs/>
          <w:sz w:val="19"/>
          <w:szCs w:val="19"/>
        </w:rPr>
        <w:t xml:space="preserve">Risk if unchanged: </w:t>
      </w:r>
      <w:r>
        <w:rPr>
          <w:sz w:val="19"/>
          <w:szCs w:val="19"/>
        </w:rPr>
        <w:t xml:space="preserve">A redaction tool with unmeasured recall silently leaks CNIC/account numbers into a training set, with no way to detect it after the fact.</w:t>
      </w:r>
    </w:p>
    <w:p>
      <w:pPr>
        <w:spacing w:after="30"/>
        <w:ind w:left="215"/>
      </w:pPr>
      <w:r>
        <w:rPr>
          <w:b/>
          <w:bCs/>
          <w:sz w:val="19"/>
          <w:szCs w:val="19"/>
        </w:rPr>
        <w:t xml:space="preserve">Fix: </w:t>
      </w:r>
      <w:r>
        <w:rPr>
          <w:sz w:val="19"/>
          <w:szCs w:val="19"/>
        </w:rPr>
        <w:t xml:space="preserve">Name the detection method, require validation against a labeled test set with a stated minimum recall (e.g. 99.9%+ on CNIC/account patterns) before the pipeline is allowed to run on real data.</w:t>
      </w:r>
    </w:p>
    <w:p>
      <w:pPr>
        <w:spacing w:after="40" w:before="140"/>
      </w:pPr>
      <w:r>
        <w:rPr>
          <w:b/>
          <w:bCs/>
          <w:sz w:val="20"/>
          <w:szCs w:val="20"/>
        </w:rPr>
        <w:t xml:space="preserve">1.5 No fallback when redaction fails or partially processes audio</w:t>
      </w:r>
    </w:p>
    <w:p>
      <w:pPr>
        <w:spacing w:after="30"/>
        <w:ind w:left="215"/>
      </w:pPr>
      <w:r>
        <w:rPr>
          <w:b/>
          <w:bCs/>
          <w:sz w:val="19"/>
          <w:szCs w:val="19"/>
        </w:rPr>
        <w:t xml:space="preserve">Problem: </w:t>
      </w:r>
      <w:r>
        <w:rPr>
          <w:sz w:val="19"/>
          <w:szCs w:val="19"/>
        </w:rPr>
        <w:t xml:space="preserve">No human QA sampling rate or fallback path is defined for redaction failures.</w:t>
      </w:r>
    </w:p>
    <w:p>
      <w:pPr>
        <w:spacing w:after="30"/>
        <w:ind w:left="215"/>
      </w:pPr>
      <w:r>
        <w:rPr>
          <w:b/>
          <w:bCs/>
          <w:sz w:val="19"/>
          <w:szCs w:val="19"/>
        </w:rPr>
        <w:t xml:space="preserve">Why it matters: </w:t>
      </w:r>
      <w:r>
        <w:rPr>
          <w:sz w:val="19"/>
          <w:szCs w:val="19"/>
        </w:rPr>
        <w:t xml:space="preserve">Any automated pipeline has a non-zero failure rate; without sampling QA, failures go unnoticed.</w:t>
      </w:r>
    </w:p>
    <w:p>
      <w:pPr>
        <w:spacing w:after="30"/>
        <w:ind w:left="215"/>
      </w:pPr>
      <w:r>
        <w:rPr>
          <w:b/>
          <w:bCs/>
          <w:sz w:val="19"/>
          <w:szCs w:val="19"/>
        </w:rPr>
        <w:t xml:space="preserve">Risk if unchanged: </w:t>
      </w:r>
      <w:r>
        <w:rPr>
          <w:sz w:val="19"/>
          <w:szCs w:val="19"/>
        </w:rPr>
        <w:t xml:space="preserve">Partial redaction failures accumulate silently across dataset versions.</w:t>
      </w:r>
    </w:p>
    <w:p>
      <w:pPr>
        <w:spacing w:after="30"/>
        <w:ind w:left="215"/>
      </w:pPr>
      <w:r>
        <w:rPr>
          <w:b/>
          <w:bCs/>
          <w:sz w:val="19"/>
          <w:szCs w:val="19"/>
        </w:rPr>
        <w:t xml:space="preserve">Fix: </w:t>
      </w:r>
      <w:r>
        <w:rPr>
          <w:sz w:val="19"/>
          <w:szCs w:val="19"/>
        </w:rPr>
        <w:t xml:space="preserve">Require a fixed-percentage human QA sample per batch, with a defined escalation path on failure.</w:t>
      </w:r>
    </w:p>
    <w:p>
      <w:pPr>
        <w:pStyle w:val="Heading1"/>
        <w:spacing w:after="150" w:before="300"/>
      </w:pPr>
      <w:r>
        <w:t xml:space="preserve">2. Dataset Formats — Section Critique</w:t>
      </w:r>
    </w:p>
    <w:p>
      <w:pPr>
        <w:spacing w:after="40" w:before="140"/>
      </w:pPr>
      <w:r>
        <w:rPr>
          <w:b/>
          <w:bCs/>
          <w:sz w:val="20"/>
          <w:szCs w:val="20"/>
        </w:rPr>
        <w:t xml:space="preserve">2.1 Directory layout — no integrity or lineage verification</w:t>
      </w:r>
    </w:p>
    <w:p>
      <w:pPr>
        <w:spacing w:after="30"/>
        <w:ind w:left="215"/>
      </w:pPr>
      <w:r>
        <w:rPr>
          <w:b/>
          <w:bCs/>
          <w:sz w:val="19"/>
          <w:szCs w:val="19"/>
        </w:rPr>
        <w:t xml:space="preserve">Problem: </w:t>
      </w:r>
      <w:r>
        <w:rPr>
          <w:sz w:val="19"/>
          <w:szCs w:val="19"/>
        </w:rPr>
        <w:t xml:space="preserve">No checksum (e.g. SHA-256) per audio file recorded in the manifest, no dataset-version field embedded in the manifest itself (versioning lives only in the folder name), no stated file encoding.</w:t>
      </w:r>
    </w:p>
    <w:p>
      <w:pPr>
        <w:spacing w:after="30"/>
        <w:ind w:left="215"/>
      </w:pPr>
      <w:r>
        <w:rPr>
          <w:b/>
          <w:bCs/>
          <w:sz w:val="19"/>
          <w:szCs w:val="19"/>
        </w:rPr>
        <w:t xml:space="preserve">Why it matters: </w:t>
      </w:r>
      <w:r>
        <w:rPr>
          <w:sz w:val="19"/>
          <w:szCs w:val="19"/>
        </w:rPr>
        <w:t xml:space="preserve">Folder-name-only versioning breaks the moment a manifest is copied or merged; missing checksums mean corrupted or substituted files go undetected.</w:t>
      </w:r>
    </w:p>
    <w:p>
      <w:pPr>
        <w:spacing w:after="30"/>
        <w:ind w:left="215"/>
      </w:pPr>
      <w:r>
        <w:rPr>
          <w:b/>
          <w:bCs/>
          <w:sz w:val="19"/>
          <w:szCs w:val="19"/>
        </w:rPr>
        <w:t xml:space="preserve">Risk if unchanged: </w:t>
      </w:r>
      <w:r>
        <w:rPr>
          <w:sz w:val="19"/>
          <w:szCs w:val="19"/>
        </w:rPr>
        <w:t xml:space="preserve">Silent data corruption or version drift with no way to detect it until model quality regresses unexplainably.</w:t>
      </w:r>
    </w:p>
    <w:p>
      <w:pPr>
        <w:spacing w:after="30"/>
        <w:ind w:left="215"/>
      </w:pPr>
      <w:r>
        <w:rPr>
          <w:b/>
          <w:bCs/>
          <w:sz w:val="19"/>
          <w:szCs w:val="19"/>
        </w:rPr>
        <w:t xml:space="preserve">Fix: </w:t>
      </w:r>
      <w:r>
        <w:rPr>
          <w:sz w:val="19"/>
          <w:szCs w:val="19"/>
        </w:rPr>
        <w:t xml:space="preserve">Add a checksum field and a `dataset_version` key inside every manifest record; state UTF-8 explicitly given Urdu script content.</w:t>
      </w:r>
    </w:p>
    <w:p>
      <w:pPr>
        <w:spacing w:after="40" w:before="140"/>
      </w:pPr>
      <w:r>
        <w:rPr>
          <w:b/>
          <w:bCs/>
          <w:sz w:val="20"/>
          <w:szCs w:val="20"/>
        </w:rPr>
        <w:t xml:space="preserve">2.2 Audio spec — missing loudness, floor length, and quality gates</w:t>
      </w:r>
    </w:p>
    <w:p>
      <w:pPr>
        <w:spacing w:after="30"/>
        <w:ind w:left="215"/>
      </w:pPr>
      <w:r>
        <w:rPr>
          <w:b/>
          <w:bCs/>
          <w:sz w:val="19"/>
          <w:szCs w:val="19"/>
        </w:rPr>
        <w:t xml:space="preserve">Problem: </w:t>
      </w:r>
      <w:r>
        <w:rPr>
          <w:sz w:val="19"/>
          <w:szCs w:val="19"/>
        </w:rPr>
        <w:t xml:space="preserve">No loudness normalization standard (e.g. EBU R128), no minimum segment length (only a ≤30s ceiling), no crosstalk/overlapping-speech handling, no clipping or SNR rejection threshold.</w:t>
      </w:r>
    </w:p>
    <w:p>
      <w:pPr>
        <w:spacing w:after="30"/>
        <w:ind w:left="215"/>
      </w:pPr>
      <w:r>
        <w:rPr>
          <w:b/>
          <w:bCs/>
          <w:sz w:val="19"/>
          <w:szCs w:val="19"/>
        </w:rPr>
        <w:t xml:space="preserve">Why it matters: </w:t>
      </w:r>
      <w:r>
        <w:rPr>
          <w:sz w:val="19"/>
          <w:szCs w:val="19"/>
        </w:rPr>
        <w:t xml:space="preserve">Telephony and podcast sources will differ wildly in loudness and noise floor without a stated normalization target; a 0.1-second clip is not trainable but nothing rejects it.</w:t>
      </w:r>
    </w:p>
    <w:p>
      <w:pPr>
        <w:spacing w:after="30"/>
        <w:ind w:left="215"/>
      </w:pPr>
      <w:r>
        <w:rPr>
          <w:b/>
          <w:bCs/>
          <w:sz w:val="19"/>
          <w:szCs w:val="19"/>
        </w:rPr>
        <w:t xml:space="preserve">Risk if unchanged: </w:t>
      </w:r>
      <w:r>
        <w:rPr>
          <w:sz w:val="19"/>
          <w:szCs w:val="19"/>
        </w:rPr>
        <w:t xml:space="preserve">Inconsistent loudness degrades model robustness in ways that look like a data problem only after training, wasting a full cycle.</w:t>
      </w:r>
    </w:p>
    <w:p>
      <w:pPr>
        <w:spacing w:after="30"/>
        <w:ind w:left="215"/>
      </w:pPr>
      <w:r>
        <w:rPr>
          <w:b/>
          <w:bCs/>
          <w:sz w:val="19"/>
          <w:szCs w:val="19"/>
        </w:rPr>
        <w:t xml:space="preserve">Fix: </w:t>
      </w:r>
      <w:r>
        <w:rPr>
          <w:sz w:val="19"/>
          <w:szCs w:val="19"/>
        </w:rPr>
        <w:t xml:space="preserve">Add a loudness spec, a minimum segment length, an SNR/clipping rejection rule, and an explicit rule for overlapping-speech segments (exclude, or label as crosstalk).</w:t>
      </w:r>
    </w:p>
    <w:p>
      <w:pPr>
        <w:spacing w:after="40" w:before="140"/>
      </w:pPr>
      <w:r>
        <w:rPr>
          <w:b/>
          <w:bCs/>
          <w:sz w:val="20"/>
          <w:szCs w:val="20"/>
        </w:rPr>
        <w:t xml:space="preserve">2.3 STT manifest — undefined taxonomies and unresolved decisions</w:t>
      </w:r>
    </w:p>
    <w:p>
      <w:pPr>
        <w:spacing w:after="30"/>
        <w:ind w:left="215"/>
      </w:pPr>
      <w:r>
        <w:rPr>
          <w:b/>
          <w:bCs/>
          <w:sz w:val="19"/>
          <w:szCs w:val="19"/>
        </w:rPr>
        <w:t xml:space="preserve">Problem: </w:t>
      </w:r>
      <w:r>
        <w:rPr>
          <w:sz w:val="19"/>
          <w:szCs w:val="19"/>
        </w:rPr>
        <w:t xml:space="preserve">“accent” has no enumerated taxonomy (“karachi” is only an example); “duration” has no stated unit or validation against the actual audio length; there is no verified/draft flag despite the pipeline explicitly producing machine drafts before human correction; there is no speaker/channel field despite diarization being required elsewhere; there is no source/client metadata field; the numeric-format convention is left as “pick one” with no decision made.</w:t>
      </w:r>
    </w:p>
    <w:p>
      <w:pPr>
        <w:spacing w:after="30"/>
        <w:ind w:left="215"/>
      </w:pPr>
      <w:r>
        <w:rPr>
          <w:b/>
          <w:bCs/>
          <w:sz w:val="19"/>
          <w:szCs w:val="19"/>
        </w:rPr>
        <w:t xml:space="preserve">Why it matters: </w:t>
      </w:r>
      <w:r>
        <w:rPr>
          <w:sz w:val="19"/>
          <w:szCs w:val="19"/>
        </w:rPr>
        <w:t xml:space="preserve">Every one of these is a decision the guidelines claim to standardize but actually defer — meaning two developers will diverge on exactly the things this document exists to prevent divergence on.</w:t>
      </w:r>
    </w:p>
    <w:p>
      <w:pPr>
        <w:spacing w:after="30"/>
        <w:ind w:left="215"/>
      </w:pPr>
      <w:r>
        <w:rPr>
          <w:b/>
          <w:bCs/>
          <w:sz w:val="19"/>
          <w:szCs w:val="19"/>
        </w:rPr>
        <w:t xml:space="preserve">Risk if unchanged: </w:t>
      </w:r>
      <w:r>
        <w:rPr>
          <w:sz w:val="19"/>
          <w:szCs w:val="19"/>
        </w:rPr>
        <w:t xml:space="preserve">Inconsistent schemas across data batches; uncorrected draft transcripts enter training silently; WER comparisons across model versions become invalid because number formatting isn't consistent.</w:t>
      </w:r>
    </w:p>
    <w:p>
      <w:pPr>
        <w:spacing w:after="30"/>
        <w:ind w:left="215"/>
      </w:pPr>
      <w:r>
        <w:rPr>
          <w:b/>
          <w:bCs/>
          <w:sz w:val="19"/>
          <w:szCs w:val="19"/>
        </w:rPr>
        <w:t xml:space="preserve">Fix: </w:t>
      </w:r>
      <w:r>
        <w:rPr>
          <w:sz w:val="19"/>
          <w:szCs w:val="19"/>
        </w:rPr>
        <w:t xml:space="preserve">Enumerate a fixed accent taxonomy, state duration units and require a validation check against actual file length, add a `verified: true/false` field, add a `channel` field (agent/customer), add a `source` field, and pick and document the number convention explicitly.</w:t>
      </w:r>
    </w:p>
    <w:p>
      <w:pPr>
        <w:spacing w:after="40" w:before="140"/>
      </w:pPr>
      <w:r>
        <w:rPr>
          <w:b/>
          <w:bCs/>
          <w:sz w:val="20"/>
          <w:szCs w:val="20"/>
        </w:rPr>
        <w:t xml:space="preserve">2.4 STT manifest — PII placeholder tokens have no tokenizer contract</w:t>
      </w:r>
    </w:p>
    <w:p>
      <w:pPr>
        <w:spacing w:after="30"/>
        <w:ind w:left="215"/>
      </w:pPr>
      <w:r>
        <w:rPr>
          <w:b/>
          <w:bCs/>
          <w:sz w:val="19"/>
          <w:szCs w:val="19"/>
        </w:rPr>
        <w:t xml:space="preserve">Problem: </w:t>
      </w:r>
      <w:r>
        <w:rPr>
          <w:sz w:val="19"/>
          <w:szCs w:val="19"/>
        </w:rPr>
        <w:t xml:space="preserve">Tokens like &lt;CNIC&gt; are specified as literal text, but there's no statement of whether they're added to the tokenizer vocabulary as single tokens, or how the consuming production system is expected to handle a literal &lt;CNIC&gt; string in model output.</w:t>
      </w:r>
    </w:p>
    <w:p>
      <w:pPr>
        <w:spacing w:after="30"/>
        <w:ind w:left="215"/>
      </w:pPr>
      <w:r>
        <w:rPr>
          <w:b/>
          <w:bCs/>
          <w:sz w:val="19"/>
          <w:szCs w:val="19"/>
        </w:rPr>
        <w:t xml:space="preserve">Why it matters: </w:t>
      </w:r>
      <w:r>
        <w:rPr>
          <w:sz w:val="19"/>
          <w:szCs w:val="19"/>
        </w:rPr>
        <w:t xml:space="preserve">If left as plain text, Whisper's subword tokenizer will silently fragment these into multiple pieces, undermining the entire placeholder design without any error being raised.</w:t>
      </w:r>
    </w:p>
    <w:p>
      <w:pPr>
        <w:spacing w:after="30"/>
        <w:ind w:left="215"/>
      </w:pPr>
      <w:r>
        <w:rPr>
          <w:b/>
          <w:bCs/>
          <w:sz w:val="19"/>
          <w:szCs w:val="19"/>
        </w:rPr>
        <w:t xml:space="preserve">Risk if unchanged: </w:t>
      </w:r>
      <w:r>
        <w:rPr>
          <w:sz w:val="19"/>
          <w:szCs w:val="19"/>
        </w:rPr>
        <w:t xml:space="preserve">The redaction placeholder scheme quietly doesn't work as intended, discovered only during evaluation, if at all.</w:t>
      </w:r>
    </w:p>
    <w:p>
      <w:pPr>
        <w:spacing w:after="30"/>
        <w:ind w:left="215"/>
      </w:pPr>
      <w:r>
        <w:rPr>
          <w:b/>
          <w:bCs/>
          <w:sz w:val="19"/>
          <w:szCs w:val="19"/>
        </w:rPr>
        <w:t xml:space="preserve">Fix: </w:t>
      </w:r>
      <w:r>
        <w:rPr>
          <w:sz w:val="19"/>
          <w:szCs w:val="19"/>
        </w:rPr>
        <w:t xml:space="preserve">Specify explicit tokenizer vocabulary additions for each placeholder, and define the downstream consuming contract (does Auton8/DeepPulse need to detect and replace these before final output?).</w:t>
      </w:r>
    </w:p>
    <w:p>
      <w:pPr>
        <w:spacing w:after="40" w:before="140"/>
      </w:pPr>
      <w:r>
        <w:rPr>
          <w:b/>
          <w:bCs/>
          <w:sz w:val="20"/>
          <w:szCs w:val="20"/>
        </w:rPr>
        <w:t xml:space="preserve">2.5 Emotion manifest — no inter-annotator agreement bar, unjustified taxonomy</w:t>
      </w:r>
    </w:p>
    <w:p>
      <w:pPr>
        <w:spacing w:after="30"/>
        <w:ind w:left="215"/>
      </w:pPr>
      <w:r>
        <w:rPr>
          <w:b/>
          <w:bCs/>
          <w:sz w:val="19"/>
          <w:szCs w:val="19"/>
        </w:rPr>
        <w:t xml:space="preserve">Problem: </w:t>
      </w:r>
      <w:r>
        <w:rPr>
          <w:sz w:val="19"/>
          <w:szCs w:val="19"/>
        </w:rPr>
        <w:t xml:space="preserve">No inter-annotator agreement (IAA) metric or minimum (e.g. Cohen's kappa) is required for emotion labels; the four-class taxonomy (neutral/happy/angry/sad) is stated with no justification, and “frustrated” — arguably more relevant to banking complaint calls than “happy” — is absent without explanation.</w:t>
      </w:r>
    </w:p>
    <w:p>
      <w:pPr>
        <w:spacing w:after="30"/>
        <w:ind w:left="215"/>
      </w:pPr>
      <w:r>
        <w:rPr>
          <w:b/>
          <w:bCs/>
          <w:sz w:val="19"/>
          <w:szCs w:val="19"/>
        </w:rPr>
        <w:t xml:space="preserve">Why it matters: </w:t>
      </w:r>
      <w:r>
        <w:rPr>
          <w:sz w:val="19"/>
          <w:szCs w:val="19"/>
        </w:rPr>
        <w:t xml:space="preserve">Emotion labeling is inherently subjective; without an IAA bar, label quality is unverifiable. The taxonomy choice directly affects product fit and was never validated against actual call-center use cases.</w:t>
      </w:r>
    </w:p>
    <w:p>
      <w:pPr>
        <w:spacing w:after="30"/>
        <w:ind w:left="215"/>
      </w:pPr>
      <w:r>
        <w:rPr>
          <w:b/>
          <w:bCs/>
          <w:sz w:val="19"/>
          <w:szCs w:val="19"/>
        </w:rPr>
        <w:t xml:space="preserve">Risk if unchanged: </w:t>
      </w:r>
      <w:r>
        <w:rPr>
          <w:sz w:val="19"/>
          <w:szCs w:val="19"/>
        </w:rPr>
        <w:t xml:space="preserve">A model trained on noisy, unvalidated labels for a taxonomy that may not match business need (e.g. can't detect “frustrated”, the emotion that likely matters most for escalation logic).</w:t>
      </w:r>
    </w:p>
    <w:p>
      <w:pPr>
        <w:spacing w:after="30"/>
        <w:ind w:left="215"/>
      </w:pPr>
      <w:r>
        <w:rPr>
          <w:b/>
          <w:bCs/>
          <w:sz w:val="19"/>
          <w:szCs w:val="19"/>
        </w:rPr>
        <w:t xml:space="preserve">Fix: </w:t>
      </w:r>
      <w:r>
        <w:rPr>
          <w:sz w:val="19"/>
          <w:szCs w:val="19"/>
        </w:rPr>
        <w:t xml:space="preserve">Require a minimum IAA score on a labeling pilot before scaling, and revisit the taxonomy against actual banking call-center use cases before locking it.</w:t>
      </w:r>
    </w:p>
    <w:p>
      <w:pPr>
        <w:spacing w:after="40" w:before="140"/>
      </w:pPr>
      <w:r>
        <w:rPr>
          <w:b/>
          <w:bCs/>
          <w:sz w:val="20"/>
          <w:szCs w:val="20"/>
        </w:rPr>
        <w:t xml:space="preserve">2.6 TTS manifest — contradicts the document's own audio spec</w:t>
      </w:r>
    </w:p>
    <w:p>
      <w:pPr>
        <w:spacing w:after="30"/>
        <w:ind w:left="215"/>
      </w:pPr>
      <w:r>
        <w:rPr>
          <w:b/>
          <w:bCs/>
          <w:sz w:val="19"/>
          <w:szCs w:val="19"/>
        </w:rPr>
        <w:t xml:space="preserve">Problem: </w:t>
      </w:r>
      <w:r>
        <w:rPr>
          <w:sz w:val="19"/>
          <w:szCs w:val="19"/>
        </w:rPr>
        <w:t xml:space="preserve">Section 2.2 states 16kHz mono “for all tasks,” but XTTS-style cloning conventionally expects 22050Hz or 24000Hz reference audio — the TTS section doesn't flag or resolve this contradiction.</w:t>
      </w:r>
    </w:p>
    <w:p>
      <w:pPr>
        <w:spacing w:after="30"/>
        <w:ind w:left="215"/>
      </w:pPr>
      <w:r>
        <w:rPr>
          <w:b/>
          <w:bCs/>
          <w:sz w:val="19"/>
          <w:szCs w:val="19"/>
        </w:rPr>
        <w:t xml:space="preserve">Why it matters: </w:t>
      </w:r>
      <w:r>
        <w:rPr>
          <w:sz w:val="19"/>
          <w:szCs w:val="19"/>
        </w:rPr>
        <w:t xml:space="preserve">Following the document literally would degrade voice-cloning quality by using an audio spec designed for STT, not TTS.</w:t>
      </w:r>
    </w:p>
    <w:p>
      <w:pPr>
        <w:spacing w:after="30"/>
        <w:ind w:left="215"/>
      </w:pPr>
      <w:r>
        <w:rPr>
          <w:b/>
          <w:bCs/>
          <w:sz w:val="19"/>
          <w:szCs w:val="19"/>
        </w:rPr>
        <w:t xml:space="preserve">Risk if unchanged: </w:t>
      </w:r>
      <w:r>
        <w:rPr>
          <w:sz w:val="19"/>
          <w:szCs w:val="19"/>
        </w:rPr>
        <w:t xml:space="preserve">A developer follows the stated “all tasks” rule verbatim and produces poor-quality cloned voices, discovered only after TTS training.</w:t>
      </w:r>
    </w:p>
    <w:p>
      <w:pPr>
        <w:spacing w:after="30"/>
        <w:ind w:left="215"/>
      </w:pPr>
      <w:r>
        <w:rPr>
          <w:b/>
          <w:bCs/>
          <w:sz w:val="19"/>
          <w:szCs w:val="19"/>
        </w:rPr>
        <w:t xml:space="preserve">Fix: </w:t>
      </w:r>
      <w:r>
        <w:rPr>
          <w:sz w:val="19"/>
          <w:szCs w:val="19"/>
        </w:rPr>
        <w:t xml:space="preserve">Explicitly scope the 16kHz rule to STT/emotion only, and state the correct sample rate for TTS reference audio separately.</w:t>
      </w:r>
    </w:p>
    <w:p>
      <w:pPr>
        <w:spacing w:after="40" w:before="140"/>
      </w:pPr>
      <w:r>
        <w:rPr>
          <w:b/>
          <w:bCs/>
          <w:sz w:val="20"/>
          <w:szCs w:val="20"/>
        </w:rPr>
        <w:t xml:space="preserve">2.7 Splits — no speaker-disjoint requirement (data leakage risk)</w:t>
      </w:r>
    </w:p>
    <w:p>
      <w:pPr>
        <w:spacing w:after="30"/>
        <w:ind w:left="215"/>
      </w:pPr>
      <w:r>
        <w:rPr>
          <w:b/>
          <w:bCs/>
          <w:sz w:val="19"/>
          <w:szCs w:val="19"/>
        </w:rPr>
        <w:t xml:space="preserve">Problem: </w:t>
      </w:r>
      <w:r>
        <w:rPr>
          <w:sz w:val="19"/>
          <w:szCs w:val="19"/>
        </w:rPr>
        <w:t xml:space="preserve">Stratification by accent and call type is specified, but there's no requirement that the same speaker (customer or agent) be excluded from appearing in both train and test.</w:t>
      </w:r>
    </w:p>
    <w:p>
      <w:pPr>
        <w:spacing w:after="30"/>
        <w:ind w:left="215"/>
      </w:pPr>
      <w:r>
        <w:rPr>
          <w:b/>
          <w:bCs/>
          <w:sz w:val="19"/>
          <w:szCs w:val="19"/>
        </w:rPr>
        <w:t xml:space="preserve">Why it matters: </w:t>
      </w:r>
      <w:r>
        <w:rPr>
          <w:sz w:val="19"/>
          <w:szCs w:val="19"/>
        </w:rPr>
        <w:t xml:space="preserve">Speaker leakage across splits is one of the most common and serious errors in speech-model evaluation — it inflates test performance in a way that doesn't hold up in production.</w:t>
      </w:r>
    </w:p>
    <w:p>
      <w:pPr>
        <w:spacing w:after="30"/>
        <w:ind w:left="215"/>
      </w:pPr>
      <w:r>
        <w:rPr>
          <w:b/>
          <w:bCs/>
          <w:sz w:val="19"/>
          <w:szCs w:val="19"/>
        </w:rPr>
        <w:t xml:space="preserve">Risk if unchanged: </w:t>
      </w:r>
      <w:r>
        <w:rPr>
          <w:sz w:val="19"/>
          <w:szCs w:val="19"/>
        </w:rPr>
        <w:t xml:space="preserve">Evaluation numbers look better than real-world performance, and this isn't caught until production data reveals the gap.</w:t>
      </w:r>
    </w:p>
    <w:p>
      <w:pPr>
        <w:spacing w:after="30"/>
        <w:ind w:left="215"/>
      </w:pPr>
      <w:r>
        <w:rPr>
          <w:b/>
          <w:bCs/>
          <w:sz w:val="19"/>
          <w:szCs w:val="19"/>
        </w:rPr>
        <w:t xml:space="preserve">Fix: </w:t>
      </w:r>
      <w:r>
        <w:rPr>
          <w:sz w:val="19"/>
          <w:szCs w:val="19"/>
        </w:rPr>
        <w:t xml:space="preserve">Add an explicit speaker-disjoint constraint to the split logic, and note that “call type” itself is never defined anywhere in this document and needs an enumerated taxonomy.</w:t>
      </w:r>
    </w:p>
    <w:p>
      <w:pPr>
        <w:pStyle w:val="Heading1"/>
        <w:spacing w:after="150" w:before="300"/>
      </w:pPr>
      <w:r>
        <w:t xml:space="preserve">3. Reproducibility — Section Critique</w:t>
      </w:r>
    </w:p>
    <w:p>
      <w:pPr>
        <w:spacing w:after="40" w:before="140"/>
      </w:pPr>
      <w:r>
        <w:rPr>
          <w:b/>
          <w:bCs/>
          <w:sz w:val="20"/>
          <w:szCs w:val="20"/>
        </w:rPr>
        <w:t xml:space="preserve">3.1 No named tooling, no environment-level determinism</w:t>
      </w:r>
    </w:p>
    <w:p>
      <w:pPr>
        <w:spacing w:after="30"/>
        <w:ind w:left="215"/>
      </w:pPr>
      <w:r>
        <w:rPr>
          <w:b/>
          <w:bCs/>
          <w:sz w:val="19"/>
          <w:szCs w:val="19"/>
        </w:rPr>
        <w:t xml:space="preserve">Problem: </w:t>
      </w:r>
      <w:r>
        <w:rPr>
          <w:sz w:val="19"/>
          <w:szCs w:val="19"/>
        </w:rPr>
        <w:t xml:space="preserve">“Config-driven training” names no specific tool or schema; there's no mention of containerization, GPU driver/CUDA pinning, or an experiment-tracking system (e.g. MLflow, Weights &amp; Biases).</w:t>
      </w:r>
    </w:p>
    <w:p>
      <w:pPr>
        <w:spacing w:after="30"/>
        <w:ind w:left="215"/>
      </w:pPr>
      <w:r>
        <w:rPr>
          <w:b/>
          <w:bCs/>
          <w:sz w:val="19"/>
          <w:szCs w:val="19"/>
        </w:rPr>
        <w:t xml:space="preserve">Why it matters: </w:t>
      </w:r>
      <w:r>
        <w:rPr>
          <w:sz w:val="19"/>
          <w:szCs w:val="19"/>
        </w:rPr>
        <w:t xml:space="preserve">Dependency pinning alone does not make ML training reproducible — GPU/driver-level nondeterminism and environment drift are well-documented, standard failure modes.</w:t>
      </w:r>
    </w:p>
    <w:p>
      <w:pPr>
        <w:spacing w:after="30"/>
        <w:ind w:left="215"/>
      </w:pPr>
      <w:r>
        <w:rPr>
          <w:b/>
          <w:bCs/>
          <w:sz w:val="19"/>
          <w:szCs w:val="19"/>
        </w:rPr>
        <w:t xml:space="preserve">Risk if unchanged: </w:t>
      </w:r>
      <w:r>
        <w:rPr>
          <w:sz w:val="19"/>
          <w:szCs w:val="19"/>
        </w:rPr>
        <w:t xml:space="preserve">“Reproducible” in name only; results can't actually be reproduced across machines or team members.</w:t>
      </w:r>
    </w:p>
    <w:p>
      <w:pPr>
        <w:spacing w:after="30"/>
        <w:ind w:left="215"/>
      </w:pPr>
      <w:r>
        <w:rPr>
          <w:b/>
          <w:bCs/>
          <w:sz w:val="19"/>
          <w:szCs w:val="19"/>
        </w:rPr>
        <w:t xml:space="preserve">Fix: </w:t>
      </w:r>
      <w:r>
        <w:rPr>
          <w:sz w:val="19"/>
          <w:szCs w:val="19"/>
        </w:rPr>
        <w:t xml:space="preserve">Name the config tool, require a container image (Docker) pinned to a specific CUDA/driver version, and require an experiment-tracking system linking dataset version → config → checkpoint → eval report.</w:t>
      </w:r>
    </w:p>
    <w:p>
      <w:pPr>
        <w:pStyle w:val="Heading1"/>
        <w:spacing w:after="150" w:before="300"/>
      </w:pPr>
      <w:r>
        <w:t xml:space="preserve">4. Training Practice — Section Critique</w:t>
      </w:r>
    </w:p>
    <w:p>
      <w:pPr>
        <w:spacing w:after="40" w:before="140"/>
      </w:pPr>
      <w:r>
        <w:rPr>
          <w:b/>
          <w:bCs/>
          <w:sz w:val="20"/>
          <w:szCs w:val="20"/>
        </w:rPr>
        <w:t xml:space="preserve">4.1 No concrete hyperparameters, checkpoint cadence, or hardware plan</w:t>
      </w:r>
    </w:p>
    <w:p>
      <w:pPr>
        <w:spacing w:after="30"/>
        <w:ind w:left="215"/>
      </w:pPr>
      <w:r>
        <w:rPr>
          <w:b/>
          <w:bCs/>
          <w:sz w:val="19"/>
          <w:szCs w:val="19"/>
        </w:rPr>
        <w:t xml:space="preserve">Problem: </w:t>
      </w:r>
      <w:r>
        <w:rPr>
          <w:sz w:val="19"/>
          <w:szCs w:val="19"/>
        </w:rPr>
        <w:t xml:space="preserve">“Checkpoint every N steps” never defines N; there's no early-stopping criterion, no starting learning rate/batch size/LoRA rank guidance, and no stated GPU/VRAM requirement.</w:t>
      </w:r>
    </w:p>
    <w:p>
      <w:pPr>
        <w:spacing w:after="30"/>
        <w:ind w:left="215"/>
      </w:pPr>
      <w:r>
        <w:rPr>
          <w:b/>
          <w:bCs/>
          <w:sz w:val="19"/>
          <w:szCs w:val="19"/>
        </w:rPr>
        <w:t xml:space="preserve">Why it matters: </w:t>
      </w:r>
      <w:r>
        <w:rPr>
          <w:sz w:val="19"/>
          <w:szCs w:val="19"/>
        </w:rPr>
        <w:t xml:space="preserve">This is exactly the kind of decision the guidelines exist to standardize, and it's left fully open — every prior instruction in this document to “be consistent” is undermined here.</w:t>
      </w:r>
    </w:p>
    <w:p>
      <w:pPr>
        <w:spacing w:after="30"/>
        <w:ind w:left="215"/>
      </w:pPr>
      <w:r>
        <w:rPr>
          <w:b/>
          <w:bCs/>
          <w:sz w:val="19"/>
          <w:szCs w:val="19"/>
        </w:rPr>
        <w:t xml:space="preserve">Risk if unchanged: </w:t>
      </w:r>
      <w:r>
        <w:rPr>
          <w:sz w:val="19"/>
          <w:szCs w:val="19"/>
        </w:rPr>
        <w:t xml:space="preserve">Wildly different, possibly non-converging runs between developers, with no shared baseline to debug against.</w:t>
      </w:r>
    </w:p>
    <w:p>
      <w:pPr>
        <w:spacing w:after="30"/>
        <w:ind w:left="215"/>
      </w:pPr>
      <w:r>
        <w:rPr>
          <w:b/>
          <w:bCs/>
          <w:sz w:val="19"/>
          <w:szCs w:val="19"/>
        </w:rPr>
        <w:t xml:space="preserve">Fix: </w:t>
      </w:r>
      <w:r>
        <w:rPr>
          <w:sz w:val="19"/>
          <w:szCs w:val="19"/>
        </w:rPr>
        <w:t xml:space="preserve">Provide a concrete starting configuration (LR, batch size, LoRA rank/alpha, epoch count, checkpoint interval, early-stopping patience) and a stated GPU/VRAM requirement.</w:t>
      </w:r>
    </w:p>
    <w:p>
      <w:pPr>
        <w:spacing w:after="40" w:before="140"/>
      </w:pPr>
      <w:r>
        <w:rPr>
          <w:b/>
          <w:bCs/>
          <w:sz w:val="20"/>
          <w:szCs w:val="20"/>
        </w:rPr>
        <w:t xml:space="preserve">4.2 Forgetting is tested for, but never prevented</w:t>
      </w:r>
    </w:p>
    <w:p>
      <w:pPr>
        <w:spacing w:after="30"/>
        <w:ind w:left="215"/>
      </w:pPr>
      <w:r>
        <w:rPr>
          <w:b/>
          <w:bCs/>
          <w:sz w:val="19"/>
          <w:szCs w:val="19"/>
        </w:rPr>
        <w:t xml:space="preserve">Problem: </w:t>
      </w:r>
      <w:r>
        <w:rPr>
          <w:sz w:val="19"/>
          <w:szCs w:val="19"/>
        </w:rPr>
        <w:t xml:space="preserve">The validation checklist tests for catastrophic forgetting, but this section gives no concrete mitigation (e.g. mixing general-domain data back into fine-tuning batches).</w:t>
      </w:r>
    </w:p>
    <w:p>
      <w:pPr>
        <w:spacing w:after="30"/>
        <w:ind w:left="215"/>
      </w:pPr>
      <w:r>
        <w:rPr>
          <w:b/>
          <w:bCs/>
          <w:sz w:val="19"/>
          <w:szCs w:val="19"/>
        </w:rPr>
        <w:t xml:space="preserve">Why it matters: </w:t>
      </w:r>
      <w:r>
        <w:rPr>
          <w:sz w:val="19"/>
          <w:szCs w:val="19"/>
        </w:rPr>
        <w:t xml:space="preserve">Detecting a failure after training is far more expensive than preventing it during training.</w:t>
      </w:r>
    </w:p>
    <w:p>
      <w:pPr>
        <w:spacing w:after="30"/>
        <w:ind w:left="215"/>
      </w:pPr>
      <w:r>
        <w:rPr>
          <w:b/>
          <w:bCs/>
          <w:sz w:val="19"/>
          <w:szCs w:val="19"/>
        </w:rPr>
        <w:t xml:space="preserve">Risk if unchanged: </w:t>
      </w:r>
      <w:r>
        <w:rPr>
          <w:sz w:val="19"/>
          <w:szCs w:val="19"/>
        </w:rPr>
        <w:t xml:space="preserve">Repeated failed training runs discovered only at the QA gate, each costing a full training cycle.</w:t>
      </w:r>
    </w:p>
    <w:p>
      <w:pPr>
        <w:spacing w:after="30"/>
        <w:ind w:left="215"/>
      </w:pPr>
      <w:r>
        <w:rPr>
          <w:b/>
          <w:bCs/>
          <w:sz w:val="19"/>
          <w:szCs w:val="19"/>
        </w:rPr>
        <w:t xml:space="preserve">Fix: </w:t>
      </w:r>
      <w:r>
        <w:rPr>
          <w:sz w:val="19"/>
          <w:szCs w:val="19"/>
        </w:rPr>
        <w:t xml:space="preserve">Add a concrete forgetting-mitigation technique to the training practice section, not just a downstream test.</w:t>
      </w:r>
    </w:p>
    <w:p>
      <w:pPr>
        <w:pStyle w:val="Heading1"/>
        <w:spacing w:after="150" w:before="300"/>
      </w:pPr>
      <w:r>
        <w:t xml:space="preserve">5. Code Quality — Section Critique</w:t>
      </w:r>
    </w:p>
    <w:p>
      <w:pPr>
        <w:spacing w:after="40" w:before="140"/>
      </w:pPr>
      <w:r>
        <w:rPr>
          <w:b/>
          <w:bCs/>
          <w:sz w:val="20"/>
          <w:szCs w:val="20"/>
        </w:rPr>
        <w:t xml:space="preserve">5.1 No enforced engineering process</w:t>
      </w:r>
    </w:p>
    <w:p>
      <w:pPr>
        <w:spacing w:after="30"/>
        <w:ind w:left="215"/>
      </w:pPr>
      <w:r>
        <w:rPr>
          <w:b/>
          <w:bCs/>
          <w:sz w:val="19"/>
          <w:szCs w:val="19"/>
        </w:rPr>
        <w:t xml:space="preserve">Problem: </w:t>
      </w:r>
      <w:r>
        <w:rPr>
          <w:sz w:val="19"/>
          <w:szCs w:val="19"/>
        </w:rPr>
        <w:t xml:space="preserve">No branching strategy, code review requirement, CI/CD reference, or linting standard; the README requirement lists three example fields with no fixed template.</w:t>
      </w:r>
    </w:p>
    <w:p>
      <w:pPr>
        <w:spacing w:after="30"/>
        <w:ind w:left="215"/>
      </w:pPr>
      <w:r>
        <w:rPr>
          <w:b/>
          <w:bCs/>
          <w:sz w:val="19"/>
          <w:szCs w:val="19"/>
        </w:rPr>
        <w:t xml:space="preserve">Why it matters: </w:t>
      </w:r>
      <w:r>
        <w:rPr>
          <w:sz w:val="19"/>
          <w:szCs w:val="19"/>
        </w:rPr>
        <w:t xml:space="preserve">A one-developer project can survive without this; the document itself anticipates a team (“one developer today, a team tomorrow” in the handoff section) without providing the process that team needs.</w:t>
      </w:r>
    </w:p>
    <w:p>
      <w:pPr>
        <w:spacing w:after="30"/>
        <w:ind w:left="215"/>
      </w:pPr>
      <w:r>
        <w:rPr>
          <w:b/>
          <w:bCs/>
          <w:sz w:val="19"/>
          <w:szCs w:val="19"/>
        </w:rPr>
        <w:t xml:space="preserve">Risk if unchanged: </w:t>
      </w:r>
      <w:r>
        <w:rPr>
          <w:sz w:val="19"/>
          <w:szCs w:val="19"/>
        </w:rPr>
        <w:t xml:space="preserve">Inconsistent code quality and undocumented experiments as soon as a second developer joins.</w:t>
      </w:r>
    </w:p>
    <w:p>
      <w:pPr>
        <w:spacing w:after="30"/>
        <w:ind w:left="215"/>
      </w:pPr>
      <w:r>
        <w:rPr>
          <w:b/>
          <w:bCs/>
          <w:sz w:val="19"/>
          <w:szCs w:val="19"/>
        </w:rPr>
        <w:t xml:space="preserve">Fix: </w:t>
      </w:r>
      <w:r>
        <w:rPr>
          <w:sz w:val="19"/>
          <w:szCs w:val="19"/>
        </w:rPr>
        <w:t xml:space="preserve">Add a minimum required README template (data version, git commit hash, environment/container reference, hyperparameters, eval results, author, date) and state the code review/CI expectation.</w:t>
      </w:r>
    </w:p>
    <w:p>
      <w:pPr>
        <w:pStyle w:val="Heading1"/>
        <w:spacing w:after="150" w:before="300"/>
      </w:pPr>
      <w:r>
        <w:t xml:space="preserve">6. Testing Gates — Section Critique</w:t>
      </w:r>
    </w:p>
    <w:p>
      <w:pPr>
        <w:spacing w:after="40" w:before="140"/>
      </w:pPr>
      <w:r>
        <w:rPr>
          <w:b/>
          <w:bCs/>
          <w:sz w:val="20"/>
          <w:szCs w:val="20"/>
        </w:rPr>
        <w:t xml:space="preserve">6.1 No numeric pass/fail thresholds anywhere</w:t>
      </w:r>
    </w:p>
    <w:p>
      <w:pPr>
        <w:spacing w:after="30"/>
        <w:ind w:left="215"/>
      </w:pPr>
      <w:r>
        <w:rPr>
          <w:b/>
          <w:bCs/>
          <w:sz w:val="19"/>
          <w:szCs w:val="19"/>
        </w:rPr>
        <w:t xml:space="preserve">Problem: </w:t>
      </w:r>
      <w:r>
        <w:rPr>
          <w:sz w:val="19"/>
          <w:szCs w:val="19"/>
        </w:rPr>
        <w:t xml:space="preserve">The document requires WER, per-class F1, forgetting checks, and shadow deployment, but never states a single numeric threshold that constitutes a pass.</w:t>
      </w:r>
    </w:p>
    <w:p>
      <w:pPr>
        <w:spacing w:after="30"/>
        <w:ind w:left="215"/>
      </w:pPr>
      <w:r>
        <w:rPr>
          <w:b/>
          <w:bCs/>
          <w:sz w:val="19"/>
          <w:szCs w:val="19"/>
        </w:rPr>
        <w:t xml:space="preserve">Why it matters: </w:t>
      </w:r>
      <w:r>
        <w:rPr>
          <w:sz w:val="19"/>
          <w:szCs w:val="19"/>
        </w:rPr>
        <w:t xml:space="preserve">This directly fails the standard of “is every requirement measurable and testable” — as written, “passing” is a subjective judgment call for every release.</w:t>
      </w:r>
    </w:p>
    <w:p>
      <w:pPr>
        <w:spacing w:after="30"/>
        <w:ind w:left="215"/>
      </w:pPr>
      <w:r>
        <w:rPr>
          <w:b/>
          <w:bCs/>
          <w:sz w:val="19"/>
          <w:szCs w:val="19"/>
        </w:rPr>
        <w:t xml:space="preserve">Risk if unchanged: </w:t>
      </w:r>
      <w:r>
        <w:rPr>
          <w:sz w:val="19"/>
          <w:szCs w:val="19"/>
        </w:rPr>
        <w:t xml:space="preserve">Inconsistent go/no-go decisions across releases, and no objective basis to reject a bad model.</w:t>
      </w:r>
    </w:p>
    <w:p>
      <w:pPr>
        <w:spacing w:after="30"/>
        <w:ind w:left="215"/>
      </w:pPr>
      <w:r>
        <w:rPr>
          <w:b/>
          <w:bCs/>
          <w:sz w:val="19"/>
          <w:szCs w:val="19"/>
        </w:rPr>
        <w:t xml:space="preserve">Fix: </w:t>
      </w:r>
      <w:r>
        <w:rPr>
          <w:sz w:val="19"/>
          <w:szCs w:val="19"/>
        </w:rPr>
        <w:t xml:space="preserve">Add explicit numeric thresholds (e.g. WER ≤ X% on held-out set, F1 ≥ Y per emotion class, latency ≤ Z ms) agreed with stakeholders before implementation begins.</w:t>
      </w:r>
    </w:p>
    <w:p>
      <w:pPr>
        <w:spacing w:after="40" w:before="140"/>
      </w:pPr>
      <w:r>
        <w:rPr>
          <w:b/>
          <w:bCs/>
          <w:sz w:val="20"/>
          <w:szCs w:val="20"/>
        </w:rPr>
        <w:t xml:space="preserve">6.2 No sign-off owner or rollback criteria</w:t>
      </w:r>
    </w:p>
    <w:p>
      <w:pPr>
        <w:spacing w:after="30"/>
        <w:ind w:left="215"/>
      </w:pPr>
      <w:r>
        <w:rPr>
          <w:b/>
          <w:bCs/>
          <w:sz w:val="19"/>
          <w:szCs w:val="19"/>
        </w:rPr>
        <w:t xml:space="preserve">Problem: </w:t>
      </w:r>
      <w:r>
        <w:rPr>
          <w:sz w:val="19"/>
          <w:szCs w:val="19"/>
        </w:rPr>
        <w:t xml:space="preserve">No named role approves the shadow-deployment → full-cutover transition, and no rollback trigger or procedure is defined if shadow deployment reveals a regression.</w:t>
      </w:r>
    </w:p>
    <w:p>
      <w:pPr>
        <w:spacing w:after="30"/>
        <w:ind w:left="215"/>
      </w:pPr>
      <w:r>
        <w:rPr>
          <w:b/>
          <w:bCs/>
          <w:sz w:val="19"/>
          <w:szCs w:val="19"/>
        </w:rPr>
        <w:t xml:space="preserve">Why it matters: </w:t>
      </w:r>
      <w:r>
        <w:rPr>
          <w:sz w:val="19"/>
          <w:szCs w:val="19"/>
        </w:rPr>
        <w:t xml:space="preserve">A gate with no owner and no exit criteria is not actually a gate.</w:t>
      </w:r>
    </w:p>
    <w:p>
      <w:pPr>
        <w:spacing w:after="30"/>
        <w:ind w:left="215"/>
      </w:pPr>
      <w:r>
        <w:rPr>
          <w:b/>
          <w:bCs/>
          <w:sz w:val="19"/>
          <w:szCs w:val="19"/>
        </w:rPr>
        <w:t xml:space="preserve">Risk if unchanged: </w:t>
      </w:r>
      <w:r>
        <w:rPr>
          <w:sz w:val="19"/>
          <w:szCs w:val="19"/>
        </w:rPr>
        <w:t xml:space="preserve">A bad model reaches production because no one was formally accountable for stopping it, and there's no defined way back.</w:t>
      </w:r>
    </w:p>
    <w:p>
      <w:pPr>
        <w:spacing w:after="30"/>
        <w:ind w:left="215"/>
      </w:pPr>
      <w:r>
        <w:rPr>
          <w:b/>
          <w:bCs/>
          <w:sz w:val="19"/>
          <w:szCs w:val="19"/>
        </w:rPr>
        <w:t xml:space="preserve">Fix: </w:t>
      </w:r>
      <w:r>
        <w:rPr>
          <w:sz w:val="19"/>
          <w:szCs w:val="19"/>
        </w:rPr>
        <w:t xml:space="preserve">Name an approving role and define explicit rollback triggers and procedure.</w:t>
      </w:r>
    </w:p>
    <w:p>
      <w:pPr>
        <w:pStyle w:val="Heading1"/>
        <w:spacing w:after="150" w:before="300"/>
      </w:pPr>
      <w:r>
        <w:t xml:space="preserve">7. Documentation / Handoff — Section Critique</w:t>
      </w:r>
    </w:p>
    <w:p>
      <w:pPr>
        <w:spacing w:after="40" w:before="140"/>
      </w:pPr>
      <w:r>
        <w:rPr>
          <w:b/>
          <w:bCs/>
          <w:sz w:val="20"/>
          <w:szCs w:val="20"/>
        </w:rPr>
        <w:t xml:space="preserve">7.1 No template or storage location for model cards and changelogs</w:t>
      </w:r>
    </w:p>
    <w:p>
      <w:pPr>
        <w:spacing w:after="30"/>
        <w:ind w:left="215"/>
      </w:pPr>
      <w:r>
        <w:rPr>
          <w:b/>
          <w:bCs/>
          <w:sz w:val="19"/>
          <w:szCs w:val="19"/>
        </w:rPr>
        <w:t xml:space="preserve">Problem: </w:t>
      </w:r>
      <w:r>
        <w:rPr>
          <w:sz w:val="19"/>
          <w:szCs w:val="19"/>
        </w:rPr>
        <w:t xml:space="preserve">“Model card” and “changelog” are required but no template (e.g. Hugging Face model card format) or storage location (repo, registry, wiki) is specified.</w:t>
      </w:r>
    </w:p>
    <w:p>
      <w:pPr>
        <w:spacing w:after="30"/>
        <w:ind w:left="215"/>
      </w:pPr>
      <w:r>
        <w:rPr>
          <w:b/>
          <w:bCs/>
          <w:sz w:val="19"/>
          <w:szCs w:val="19"/>
        </w:rPr>
        <w:t xml:space="preserve">Why it matters: </w:t>
      </w:r>
      <w:r>
        <w:rPr>
          <w:sz w:val="19"/>
          <w:szCs w:val="19"/>
        </w:rPr>
        <w:t xml:space="preserve">Without a fixed template, model cards will vary in content and usefulness across versions, defeating the stated purpose of comparability.</w:t>
      </w:r>
    </w:p>
    <w:p>
      <w:pPr>
        <w:spacing w:after="30"/>
        <w:ind w:left="215"/>
      </w:pPr>
      <w:r>
        <w:rPr>
          <w:b/>
          <w:bCs/>
          <w:sz w:val="19"/>
          <w:szCs w:val="19"/>
        </w:rPr>
        <w:t xml:space="preserve">Risk if unchanged: </w:t>
      </w:r>
      <w:r>
        <w:rPr>
          <w:sz w:val="19"/>
          <w:szCs w:val="19"/>
        </w:rPr>
        <w:t xml:space="preserve">Handoff to a future team member relies on inconsistent, incomplete documentation.</w:t>
      </w:r>
    </w:p>
    <w:p>
      <w:pPr>
        <w:spacing w:after="30"/>
        <w:ind w:left="215"/>
      </w:pPr>
      <w:r>
        <w:rPr>
          <w:b/>
          <w:bCs/>
          <w:sz w:val="19"/>
          <w:szCs w:val="19"/>
        </w:rPr>
        <w:t xml:space="preserve">Fix: </w:t>
      </w:r>
      <w:r>
        <w:rPr>
          <w:sz w:val="19"/>
          <w:szCs w:val="19"/>
        </w:rPr>
        <w:t xml:space="preserve">Adopt a concrete model card template and state where cards and changelogs are stored and how they're linked to model artifacts.</w:t>
      </w:r>
    </w:p>
    <w:p>
      <w:pPr>
        <w:pStyle w:val="Heading1"/>
        <w:spacing w:after="150" w:before="300"/>
      </w:pPr>
      <w:r>
        <w:t xml:space="preserve">Rollup</w:t>
      </w:r>
    </w:p>
    <w:p>
      <w:pPr>
        <w:pStyle w:val="Heading2"/>
        <w:spacing w:after="100" w:before="220"/>
      </w:pPr>
      <w:r>
        <w:t xml:space="preserve">Critical Gaps</w:t>
      </w:r>
    </w:p>
    <w:p>
      <w:pPr>
        <w:pStyle w:val="ListParagraph"/>
        <w:numPr>
          <w:ilvl w:val="0"/>
          <w:numId w:val="2"/>
        </w:numPr>
        <w:spacing w:after="50"/>
      </w:pPr>
      <w:r>
        <w:rPr>
          <w:sz w:val="19"/>
          <w:szCs w:val="19"/>
        </w:rPr>
        <w:t xml:space="preserve">No speaker-disjoint constraint on train/test splits — a serious, uncaught data-leakage risk.</w:t>
      </w:r>
    </w:p>
    <w:p>
      <w:pPr>
        <w:pStyle w:val="ListParagraph"/>
        <w:numPr>
          <w:ilvl w:val="0"/>
          <w:numId w:val="2"/>
        </w:numPr>
        <w:spacing w:after="50"/>
      </w:pPr>
      <w:r>
        <w:rPr>
          <w:sz w:val="19"/>
          <w:szCs w:val="19"/>
        </w:rPr>
        <w:t xml:space="preserve">Zero numeric pass/fail thresholds for any test in the document — nothing is actually measurable as written.</w:t>
      </w:r>
    </w:p>
    <w:p>
      <w:pPr>
        <w:pStyle w:val="ListParagraph"/>
        <w:numPr>
          <w:ilvl w:val="0"/>
          <w:numId w:val="2"/>
        </w:numPr>
        <w:spacing w:after="50"/>
      </w:pPr>
      <w:r>
        <w:rPr>
          <w:sz w:val="19"/>
          <w:szCs w:val="19"/>
        </w:rPr>
        <w:t xml:space="preserve">No accuracy target or validation method for PII detection — the single most compliance-critical control has no acceptance criteria.</w:t>
      </w:r>
    </w:p>
    <w:p>
      <w:pPr>
        <w:pStyle w:val="ListParagraph"/>
        <w:numPr>
          <w:ilvl w:val="0"/>
          <w:numId w:val="2"/>
        </w:numPr>
        <w:spacing w:after="50"/>
      </w:pPr>
      <w:r>
        <w:rPr>
          <w:sz w:val="19"/>
          <w:szCs w:val="19"/>
        </w:rPr>
        <w:t xml:space="preserve">The document is scoped as guidelines, not a system specification, and cannot stand alone as “the only spec a team receives.”</w:t>
      </w:r>
    </w:p>
    <w:p>
      <w:pPr>
        <w:pStyle w:val="Heading2"/>
        <w:spacing w:after="100" w:before="220"/>
      </w:pPr>
      <w:r>
        <w:t xml:space="preserve">Missing Implementation Details</w:t>
      </w:r>
    </w:p>
    <w:p>
      <w:pPr>
        <w:pStyle w:val="ListParagraph"/>
        <w:numPr>
          <w:ilvl w:val="0"/>
          <w:numId w:val="2"/>
        </w:numPr>
        <w:spacing w:after="50"/>
      </w:pPr>
      <w:r>
        <w:rPr>
          <w:sz w:val="19"/>
          <w:szCs w:val="19"/>
        </w:rPr>
        <w:t xml:space="preserve">Concrete starting hyperparameters (LR, batch size, LoRA rank/alpha, epochs, checkpoint interval).</w:t>
      </w:r>
    </w:p>
    <w:p>
      <w:pPr>
        <w:pStyle w:val="ListParagraph"/>
        <w:numPr>
          <w:ilvl w:val="0"/>
          <w:numId w:val="2"/>
        </w:numPr>
        <w:spacing w:after="50"/>
      </w:pPr>
      <w:r>
        <w:rPr>
          <w:sz w:val="19"/>
          <w:szCs w:val="19"/>
        </w:rPr>
        <w:t xml:space="preserve">Enumerated accent and call-type taxonomies (referenced repeatedly, never defined).</w:t>
      </w:r>
    </w:p>
    <w:p>
      <w:pPr>
        <w:pStyle w:val="ListParagraph"/>
        <w:numPr>
          <w:ilvl w:val="0"/>
          <w:numId w:val="2"/>
        </w:numPr>
        <w:spacing w:after="50"/>
      </w:pPr>
      <w:r>
        <w:rPr>
          <w:sz w:val="19"/>
          <w:szCs w:val="19"/>
        </w:rPr>
        <w:t xml:space="preserve">PII placeholder token → tokenizer vocabulary integration mechanics.</w:t>
      </w:r>
    </w:p>
    <w:p>
      <w:pPr>
        <w:pStyle w:val="ListParagraph"/>
        <w:numPr>
          <w:ilvl w:val="0"/>
          <w:numId w:val="2"/>
        </w:numPr>
        <w:spacing w:after="50"/>
      </w:pPr>
      <w:r>
        <w:rPr>
          <w:sz w:val="19"/>
          <w:szCs w:val="19"/>
        </w:rPr>
        <w:t xml:space="preserve">Config tool/schema and containerized environment specification.</w:t>
      </w:r>
    </w:p>
    <w:p>
      <w:pPr>
        <w:pStyle w:val="Heading2"/>
        <w:spacing w:after="100" w:before="220"/>
      </w:pPr>
      <w:r>
        <w:t xml:space="preserve">Missing APIs, Schemas, Workflows, or Diagrams</w:t>
      </w:r>
    </w:p>
    <w:p>
      <w:pPr>
        <w:pStyle w:val="ListParagraph"/>
        <w:numPr>
          <w:ilvl w:val="0"/>
          <w:numId w:val="2"/>
        </w:numPr>
        <w:spacing w:after="50"/>
      </w:pPr>
      <w:r>
        <w:rPr>
          <w:sz w:val="19"/>
          <w:szCs w:val="19"/>
        </w:rPr>
        <w:t xml:space="preserve">No API contract between the trained STT/emotion services and the Auton8/DeepPulse platform.</w:t>
      </w:r>
    </w:p>
    <w:p>
      <w:pPr>
        <w:pStyle w:val="ListParagraph"/>
        <w:numPr>
          <w:ilvl w:val="0"/>
          <w:numId w:val="2"/>
        </w:numPr>
        <w:spacing w:after="50"/>
      </w:pPr>
      <w:r>
        <w:rPr>
          <w:sz w:val="19"/>
          <w:szCs w:val="19"/>
        </w:rPr>
        <w:t xml:space="preserve">No data-flow diagram (raw call → redaction → manifest → training → deployment).</w:t>
      </w:r>
    </w:p>
    <w:p>
      <w:pPr>
        <w:pStyle w:val="ListParagraph"/>
        <w:numPr>
          <w:ilvl w:val="0"/>
          <w:numId w:val="2"/>
        </w:numPr>
        <w:spacing w:after="50"/>
      </w:pPr>
      <w:r>
        <w:rPr>
          <w:sz w:val="19"/>
          <w:szCs w:val="19"/>
        </w:rPr>
        <w:t xml:space="preserve">No system architecture diagram of any kind.</w:t>
      </w:r>
    </w:p>
    <w:p>
      <w:pPr>
        <w:pStyle w:val="ListParagraph"/>
        <w:numPr>
          <w:ilvl w:val="0"/>
          <w:numId w:val="2"/>
        </w:numPr>
        <w:spacing w:after="50"/>
      </w:pPr>
      <w:r>
        <w:rPr>
          <w:sz w:val="19"/>
          <w:szCs w:val="19"/>
        </w:rPr>
        <w:t xml:space="preserve">No dataset schema versioning field embedded in the manifest itself.</w:t>
      </w:r>
    </w:p>
    <w:p>
      <w:pPr>
        <w:pStyle w:val="Heading2"/>
        <w:spacing w:after="100" w:before="220"/>
      </w:pPr>
      <w:r>
        <w:t xml:space="preserve">Missing Testing &amp; Acceptance Criteria</w:t>
      </w:r>
    </w:p>
    <w:p>
      <w:pPr>
        <w:pStyle w:val="ListParagraph"/>
        <w:numPr>
          <w:ilvl w:val="0"/>
          <w:numId w:val="2"/>
        </w:numPr>
        <w:spacing w:after="50"/>
      </w:pPr>
      <w:r>
        <w:rPr>
          <w:sz w:val="19"/>
          <w:szCs w:val="19"/>
        </w:rPr>
        <w:t xml:space="preserve">No WER/F1/latency numeric thresholds.</w:t>
      </w:r>
    </w:p>
    <w:p>
      <w:pPr>
        <w:pStyle w:val="ListParagraph"/>
        <w:numPr>
          <w:ilvl w:val="0"/>
          <w:numId w:val="2"/>
        </w:numPr>
        <w:spacing w:after="50"/>
      </w:pPr>
      <w:r>
        <w:rPr>
          <w:sz w:val="19"/>
          <w:szCs w:val="19"/>
        </w:rPr>
        <w:t xml:space="preserve">No inter-annotator agreement minimum for emotion labels.</w:t>
      </w:r>
    </w:p>
    <w:p>
      <w:pPr>
        <w:pStyle w:val="ListParagraph"/>
        <w:numPr>
          <w:ilvl w:val="0"/>
          <w:numId w:val="2"/>
        </w:numPr>
        <w:spacing w:after="50"/>
      </w:pPr>
      <w:r>
        <w:rPr>
          <w:sz w:val="19"/>
          <w:szCs w:val="19"/>
        </w:rPr>
        <w:t xml:space="preserve">No PII-redaction validation test suite or required recall figure.</w:t>
      </w:r>
    </w:p>
    <w:p>
      <w:pPr>
        <w:pStyle w:val="ListParagraph"/>
        <w:numPr>
          <w:ilvl w:val="0"/>
          <w:numId w:val="2"/>
        </w:numPr>
        <w:spacing w:after="50"/>
      </w:pPr>
      <w:r>
        <w:rPr>
          <w:sz w:val="19"/>
          <w:szCs w:val="19"/>
        </w:rPr>
        <w:t xml:space="preserve">No statistical significance bar for the shadow-deployment comparison.</w:t>
      </w:r>
    </w:p>
    <w:p>
      <w:pPr>
        <w:pStyle w:val="Heading2"/>
        <w:spacing w:after="100" w:before="220"/>
      </w:pPr>
      <w:r>
        <w:t xml:space="preserve">Missing Production Considerations</w:t>
      </w:r>
    </w:p>
    <w:p>
      <w:pPr>
        <w:pStyle w:val="ListParagraph"/>
        <w:numPr>
          <w:ilvl w:val="0"/>
          <w:numId w:val="2"/>
        </w:numPr>
        <w:spacing w:after="50"/>
      </w:pPr>
      <w:r>
        <w:rPr>
          <w:sz w:val="19"/>
          <w:szCs w:val="19"/>
        </w:rPr>
        <w:t xml:space="preserve">No latency/throughput SLA stated in this document.</w:t>
      </w:r>
    </w:p>
    <w:p>
      <w:pPr>
        <w:pStyle w:val="ListParagraph"/>
        <w:numPr>
          <w:ilvl w:val="0"/>
          <w:numId w:val="2"/>
        </w:numPr>
        <w:spacing w:after="50"/>
      </w:pPr>
      <w:r>
        <w:rPr>
          <w:sz w:val="19"/>
          <w:szCs w:val="19"/>
        </w:rPr>
        <w:t xml:space="preserve">No hardware/capacity planning (GPU count, VRAM).</w:t>
      </w:r>
    </w:p>
    <w:p>
      <w:pPr>
        <w:pStyle w:val="ListParagraph"/>
        <w:numPr>
          <w:ilvl w:val="0"/>
          <w:numId w:val="2"/>
        </w:numPr>
        <w:spacing w:after="50"/>
      </w:pPr>
      <w:r>
        <w:rPr>
          <w:sz w:val="19"/>
          <w:szCs w:val="19"/>
        </w:rPr>
        <w:t xml:space="preserve">No defined consuming-system contract for PII placeholder tokens at inference time.</w:t>
      </w:r>
    </w:p>
    <w:p>
      <w:pPr>
        <w:pStyle w:val="Heading2"/>
        <w:spacing w:after="100" w:before="220"/>
      </w:pPr>
      <w:r>
        <w:t xml:space="preserve">Missing Operational &amp; Monitoring Requirements</w:t>
      </w:r>
    </w:p>
    <w:p>
      <w:pPr>
        <w:pStyle w:val="ListParagraph"/>
        <w:numPr>
          <w:ilvl w:val="0"/>
          <w:numId w:val="2"/>
        </w:numPr>
        <w:spacing w:after="50"/>
      </w:pPr>
      <w:r>
        <w:rPr>
          <w:sz w:val="19"/>
          <w:szCs w:val="19"/>
        </w:rPr>
        <w:t xml:space="preserve">No drift-monitoring or misrecognition feedback-loop mechanics (mentioned in prior discussion, absent from this document).</w:t>
      </w:r>
    </w:p>
    <w:p>
      <w:pPr>
        <w:pStyle w:val="ListParagraph"/>
        <w:numPr>
          <w:ilvl w:val="0"/>
          <w:numId w:val="2"/>
        </w:numPr>
        <w:spacing w:after="50"/>
      </w:pPr>
      <w:r>
        <w:rPr>
          <w:sz w:val="19"/>
          <w:szCs w:val="19"/>
        </w:rPr>
        <w:t xml:space="preserve">No alerting or dashboard requirement.</w:t>
      </w:r>
    </w:p>
    <w:p>
      <w:pPr>
        <w:pStyle w:val="ListParagraph"/>
        <w:numPr>
          <w:ilvl w:val="0"/>
          <w:numId w:val="2"/>
        </w:numPr>
        <w:spacing w:after="50"/>
      </w:pPr>
      <w:r>
        <w:rPr>
          <w:sz w:val="19"/>
          <w:szCs w:val="19"/>
        </w:rPr>
        <w:t xml:space="preserve">No incident response or rollback runbook.</w:t>
      </w:r>
    </w:p>
    <w:p>
      <w:pPr>
        <w:pStyle w:val="Heading2"/>
        <w:spacing w:after="100" w:before="220"/>
      </w:pPr>
      <w:r>
        <w:t xml:space="preserve">Missing Edge Cases</w:t>
      </w:r>
    </w:p>
    <w:p>
      <w:pPr>
        <w:pStyle w:val="ListParagraph"/>
        <w:numPr>
          <w:ilvl w:val="0"/>
          <w:numId w:val="2"/>
        </w:numPr>
        <w:spacing w:after="50"/>
      </w:pPr>
      <w:r>
        <w:rPr>
          <w:sz w:val="19"/>
          <w:szCs w:val="19"/>
        </w:rPr>
        <w:t xml:space="preserve">Overlapping/crosstalk speech segments.</w:t>
      </w:r>
    </w:p>
    <w:p>
      <w:pPr>
        <w:pStyle w:val="ListParagraph"/>
        <w:numPr>
          <w:ilvl w:val="0"/>
          <w:numId w:val="2"/>
        </w:numPr>
        <w:spacing w:after="50"/>
      </w:pPr>
      <w:r>
        <w:rPr>
          <w:sz w:val="19"/>
          <w:szCs w:val="19"/>
        </w:rPr>
        <w:t xml:space="preserve">Audio below a minimum SNR or with clipping.</w:t>
      </w:r>
    </w:p>
    <w:p>
      <w:pPr>
        <w:pStyle w:val="ListParagraph"/>
        <w:numPr>
          <w:ilvl w:val="0"/>
          <w:numId w:val="2"/>
        </w:numPr>
        <w:spacing w:after="50"/>
      </w:pPr>
      <w:r>
        <w:rPr>
          <w:sz w:val="19"/>
          <w:szCs w:val="19"/>
        </w:rPr>
        <w:t xml:space="preserve">Ambiguous or multi-label emotion segments.</w:t>
      </w:r>
    </w:p>
    <w:p>
      <w:pPr>
        <w:pStyle w:val="ListParagraph"/>
        <w:numPr>
          <w:ilvl w:val="0"/>
          <w:numId w:val="2"/>
        </w:numPr>
        <w:spacing w:after="50"/>
      </w:pPr>
      <w:r>
        <w:rPr>
          <w:sz w:val="19"/>
          <w:szCs w:val="19"/>
        </w:rPr>
        <w:t xml:space="preserve">Redaction tool false negatives on edge-format PII (e.g. spoken-aloud account numbers with pauses).</w:t>
      </w:r>
    </w:p>
    <w:p>
      <w:pPr>
        <w:pStyle w:val="Heading2"/>
        <w:spacing w:after="100" w:before="220"/>
      </w:pPr>
      <w:r>
        <w:t xml:space="preserve">Sections That Should Be Rewritten</w:t>
      </w:r>
    </w:p>
    <w:p>
      <w:pPr>
        <w:pStyle w:val="ListParagraph"/>
        <w:numPr>
          <w:ilvl w:val="0"/>
          <w:numId w:val="2"/>
        </w:numPr>
        <w:spacing w:after="50"/>
      </w:pPr>
      <w:r>
        <w:rPr>
          <w:sz w:val="19"/>
          <w:szCs w:val="19"/>
        </w:rPr>
        <w:t xml:space="preserve">Section 1 (Data Handling) — needs a retention policy, RBAC model, and PII-detection acceptance criteria.</w:t>
      </w:r>
    </w:p>
    <w:p>
      <w:pPr>
        <w:pStyle w:val="ListParagraph"/>
        <w:numPr>
          <w:ilvl w:val="0"/>
          <w:numId w:val="2"/>
        </w:numPr>
        <w:spacing w:after="50"/>
      </w:pPr>
      <w:r>
        <w:rPr>
          <w:sz w:val="19"/>
          <w:szCs w:val="19"/>
        </w:rPr>
        <w:t xml:space="preserve">Section 2.3/2.4 (STT &amp; Emotion manifests) — needs enumerated taxonomies, a verified/draft flag, channel field, and an IAA requirement.</w:t>
      </w:r>
    </w:p>
    <w:p>
      <w:pPr>
        <w:pStyle w:val="ListParagraph"/>
        <w:numPr>
          <w:ilvl w:val="0"/>
          <w:numId w:val="2"/>
        </w:numPr>
        <w:spacing w:after="50"/>
      </w:pPr>
      <w:r>
        <w:rPr>
          <w:sz w:val="19"/>
          <w:szCs w:val="19"/>
        </w:rPr>
        <w:t xml:space="preserve">Section 2.6 (Splits) — needs a speaker-disjoint constraint and a defined call-type taxonomy.</w:t>
      </w:r>
    </w:p>
    <w:p>
      <w:pPr>
        <w:pStyle w:val="ListParagraph"/>
        <w:numPr>
          <w:ilvl w:val="0"/>
          <w:numId w:val="2"/>
        </w:numPr>
        <w:spacing w:after="50"/>
      </w:pPr>
      <w:r>
        <w:rPr>
          <w:sz w:val="19"/>
          <w:szCs w:val="19"/>
        </w:rPr>
        <w:t xml:space="preserve">Section 6 (Testing Gates) — needs numeric thresholds, a named approving role, and rollback criteria.</w:t>
      </w:r>
    </w:p>
    <w:p>
      <w:pPr>
        <w:pStyle w:val="Heading1"/>
        <w:spacing w:after="150" w:before="300"/>
      </w:pPr>
      <w:r>
        <w:t xml:space="preserve">Implementation Readiness Score</w:t>
      </w:r>
    </w:p>
    <w:p>
      <w:pPr>
        <w:spacing w:after="100"/>
      </w:pPr>
      <w:r>
        <w:rPr>
          <w:b/>
          <w:bCs/>
          <w:color w:val="8B0000"/>
          <w:sz w:val="32"/>
          <w:szCs w:val="32"/>
        </w:rPr>
        <w:t xml:space="preserve">22 / 100</w:t>
      </w:r>
    </w:p>
    <w:p>
      <w:pPr>
        <w:spacing w:after="100"/>
      </w:pPr>
      <w:r>
        <w:rPr>
          <w:sz w:val="19"/>
          <w:szCs w:val="19"/>
        </w:rPr>
        <w:t xml:space="preserve">Justification: as a set of cultural/best-practice principles for a small team, this document is reasonable — it correctly names the right concerns (PII, reproducibility, LoRA, shadow deployment). But scored against the brief's own bar — a spec a senior engineering team could implement without asking a single clarifying question — it fails on nearly every axis that makes a specification actionable: no numeric acceptance criteria anywhere, no enumerated taxonomies for fields it requires (accent, call type, emotion classes), no architecture or API contracts, no diagrams, and at least one internal contradiction (the TTS/STT sample-rate conflict). The score reflects that this is a good checklist wrapped around the outline of a specification, not a specification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2026-07-13T20:43:04.178Z</dcterms:created>
  <dcterms:modified xsi:type="dcterms:W3CDTF">2026-07-13T20:43:04.191Z</dcterms:modified>
</cp:coreProperties>
</file>

<file path=docProps/custom.xml><?xml version="1.0" encoding="utf-8"?>
<Properties xmlns="http://schemas.openxmlformats.org/officeDocument/2006/custom-properties" xmlns:vt="http://schemas.openxmlformats.org/officeDocument/2006/docPropsVTypes"/>
</file>