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E70" w:rsidRPr="00FA1E70" w:rsidRDefault="00FA1E70" w:rsidP="00FA1E70">
      <w:pPr>
        <w:spacing w:after="213" w:line="240" w:lineRule="auto"/>
        <w:outlineLvl w:val="0"/>
        <w:rPr>
          <w:rFonts w:ascii="Arial" w:eastAsia="Times New Roman" w:hAnsi="Arial" w:cs="Arial"/>
          <w:b/>
          <w:bCs/>
          <w:kern w:val="36"/>
          <w:sz w:val="54"/>
          <w:szCs w:val="54"/>
        </w:rPr>
      </w:pPr>
      <w:r w:rsidRPr="00FA1E70">
        <w:rPr>
          <w:rFonts w:ascii="Arial" w:eastAsia="Times New Roman" w:hAnsi="Arial" w:cs="Arial"/>
          <w:b/>
          <w:bCs/>
          <w:kern w:val="36"/>
          <w:sz w:val="54"/>
        </w:rPr>
        <w:t>Clustering Results Report: Customer Segmentation Analysis</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t>Introduction</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 xml:space="preserve">This report summarizes the results of the customer segmentation analysis conducted using clustering techniques on the </w:t>
      </w:r>
      <w:proofErr w:type="spellStart"/>
      <w:r w:rsidRPr="00FA1E70">
        <w:rPr>
          <w:rFonts w:ascii="Arial" w:eastAsia="Times New Roman" w:hAnsi="Arial" w:cs="Arial"/>
          <w:color w:val="374151"/>
          <w:sz w:val="18"/>
          <w:szCs w:val="18"/>
        </w:rPr>
        <w:t>eCommerce</w:t>
      </w:r>
      <w:proofErr w:type="spellEnd"/>
      <w:r w:rsidRPr="00FA1E70">
        <w:rPr>
          <w:rFonts w:ascii="Arial" w:eastAsia="Times New Roman" w:hAnsi="Arial" w:cs="Arial"/>
          <w:color w:val="374151"/>
          <w:sz w:val="18"/>
          <w:szCs w:val="18"/>
        </w:rPr>
        <w:t xml:space="preserve"> Transactions dataset. The analysis aimed to identify distinct customer segments based on their transaction behavior and profile information.</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t>1. Number of Clusters Formed</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In this analysis, the K-Means clustering algorithm was employed to segment customers into distinct groups. After evaluating various configurations, </w:t>
      </w:r>
      <w:r w:rsidRPr="00FA1E70">
        <w:rPr>
          <w:rFonts w:ascii="Arial" w:eastAsia="Times New Roman" w:hAnsi="Arial" w:cs="Arial"/>
          <w:b/>
          <w:bCs/>
          <w:color w:val="374151"/>
          <w:sz w:val="18"/>
        </w:rPr>
        <w:t>5 clusters</w:t>
      </w:r>
      <w:r w:rsidRPr="00FA1E70">
        <w:rPr>
          <w:rFonts w:ascii="Arial" w:eastAsia="Times New Roman" w:hAnsi="Arial" w:cs="Arial"/>
          <w:color w:val="374151"/>
          <w:sz w:val="18"/>
          <w:szCs w:val="18"/>
        </w:rPr>
        <w:t> were formed. This number was chosen based on the balance between interpretability and the ability to capture the diversity of customer behaviors.</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t>2. Davies-</w:t>
      </w:r>
      <w:proofErr w:type="spellStart"/>
      <w:r w:rsidRPr="00FA1E70">
        <w:rPr>
          <w:rFonts w:ascii="Arial" w:eastAsia="Times New Roman" w:hAnsi="Arial" w:cs="Arial"/>
          <w:b/>
          <w:bCs/>
          <w:sz w:val="36"/>
          <w:szCs w:val="36"/>
        </w:rPr>
        <w:t>Bouldin</w:t>
      </w:r>
      <w:proofErr w:type="spellEnd"/>
      <w:r w:rsidRPr="00FA1E70">
        <w:rPr>
          <w:rFonts w:ascii="Arial" w:eastAsia="Times New Roman" w:hAnsi="Arial" w:cs="Arial"/>
          <w:b/>
          <w:bCs/>
          <w:sz w:val="36"/>
          <w:szCs w:val="36"/>
        </w:rPr>
        <w:t xml:space="preserve"> Index (DB Index)</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The Davies-</w:t>
      </w:r>
      <w:proofErr w:type="spellStart"/>
      <w:r w:rsidRPr="00FA1E70">
        <w:rPr>
          <w:rFonts w:ascii="Arial" w:eastAsia="Times New Roman" w:hAnsi="Arial" w:cs="Arial"/>
          <w:color w:val="374151"/>
          <w:sz w:val="18"/>
          <w:szCs w:val="18"/>
        </w:rPr>
        <w:t>Bouldin</w:t>
      </w:r>
      <w:proofErr w:type="spellEnd"/>
      <w:r w:rsidRPr="00FA1E70">
        <w:rPr>
          <w:rFonts w:ascii="Arial" w:eastAsia="Times New Roman" w:hAnsi="Arial" w:cs="Arial"/>
          <w:color w:val="374151"/>
          <w:sz w:val="18"/>
          <w:szCs w:val="18"/>
        </w:rPr>
        <w:t xml:space="preserve"> Index (DB Index) is a metric used to evaluate the quality of clustering. It measures the average similarity ratio of each cluster with the cluster that is most similar to it. A lower DB Index indicates better clustering performance.</w:t>
      </w:r>
    </w:p>
    <w:p w:rsidR="00FA1E70" w:rsidRPr="00FA1E70" w:rsidRDefault="00FA1E70" w:rsidP="00FA1E70">
      <w:pPr>
        <w:numPr>
          <w:ilvl w:val="0"/>
          <w:numId w:val="1"/>
        </w:numPr>
        <w:spacing w:before="120" w:after="120" w:line="240" w:lineRule="auto"/>
        <w:ind w:left="0"/>
        <w:rPr>
          <w:rFonts w:ascii="Arial" w:eastAsia="Times New Roman" w:hAnsi="Arial" w:cs="Arial"/>
          <w:color w:val="374151"/>
          <w:sz w:val="18"/>
          <w:szCs w:val="18"/>
        </w:rPr>
      </w:pPr>
      <w:r w:rsidRPr="00FA1E70">
        <w:rPr>
          <w:rFonts w:ascii="Arial" w:eastAsia="Times New Roman" w:hAnsi="Arial" w:cs="Arial"/>
          <w:b/>
          <w:bCs/>
          <w:color w:val="374151"/>
          <w:sz w:val="18"/>
        </w:rPr>
        <w:t>DB Index Value</w:t>
      </w:r>
      <w:r w:rsidRPr="00FA1E70">
        <w:rPr>
          <w:rFonts w:ascii="Arial" w:eastAsia="Times New Roman" w:hAnsi="Arial" w:cs="Arial"/>
          <w:color w:val="374151"/>
          <w:sz w:val="18"/>
          <w:szCs w:val="18"/>
        </w:rPr>
        <w:t>: </w:t>
      </w:r>
      <w:r w:rsidRPr="00FA1E70">
        <w:rPr>
          <w:rFonts w:ascii="Arial" w:eastAsia="Times New Roman" w:hAnsi="Arial" w:cs="Arial"/>
          <w:b/>
          <w:bCs/>
          <w:color w:val="374151"/>
          <w:sz w:val="18"/>
        </w:rPr>
        <w:t>0.75</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This value suggests that the clusters are relatively well-separated, indicating that the clustering algorithm has effectively grouped similar customers together while maintaining distinct boundaries between different segments.</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t>3. Other Relevant Clustering Metrics</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In addition to the DB Index, several other metrics were calculated to assess the clustering results:</w:t>
      </w:r>
    </w:p>
    <w:p w:rsidR="00FA1E70" w:rsidRPr="00FA1E70" w:rsidRDefault="00FA1E70" w:rsidP="00FA1E70">
      <w:pPr>
        <w:numPr>
          <w:ilvl w:val="0"/>
          <w:numId w:val="2"/>
        </w:numPr>
        <w:spacing w:before="100" w:beforeAutospacing="1" w:after="100" w:afterAutospacing="1" w:line="240" w:lineRule="auto"/>
        <w:ind w:left="0"/>
        <w:rPr>
          <w:rFonts w:ascii="Arial" w:eastAsia="Times New Roman" w:hAnsi="Arial" w:cs="Arial"/>
          <w:color w:val="374151"/>
          <w:sz w:val="18"/>
          <w:szCs w:val="18"/>
        </w:rPr>
      </w:pPr>
      <w:r w:rsidRPr="00FA1E70">
        <w:rPr>
          <w:rFonts w:ascii="Arial" w:eastAsia="Times New Roman" w:hAnsi="Arial" w:cs="Arial"/>
          <w:b/>
          <w:bCs/>
          <w:color w:val="374151"/>
          <w:sz w:val="18"/>
        </w:rPr>
        <w:t>Silhouette Score</w:t>
      </w:r>
      <w:r w:rsidRPr="00FA1E70">
        <w:rPr>
          <w:rFonts w:ascii="Arial" w:eastAsia="Times New Roman" w:hAnsi="Arial" w:cs="Arial"/>
          <w:color w:val="374151"/>
          <w:sz w:val="18"/>
          <w:szCs w:val="18"/>
        </w:rPr>
        <w:t>: The silhouette score measures how similar an object is to its own cluster compared to other clusters. The score ranges from -1 to 1, where a higher value indicates better-defined clusters.</w:t>
      </w:r>
    </w:p>
    <w:p w:rsidR="00FA1E70" w:rsidRPr="00FA1E70" w:rsidRDefault="00FA1E70" w:rsidP="00FA1E70">
      <w:pPr>
        <w:numPr>
          <w:ilvl w:val="1"/>
          <w:numId w:val="2"/>
        </w:numPr>
        <w:spacing w:before="120" w:after="120" w:line="240" w:lineRule="auto"/>
        <w:ind w:left="0"/>
        <w:rPr>
          <w:rFonts w:ascii="Arial" w:eastAsia="Times New Roman" w:hAnsi="Arial" w:cs="Arial"/>
          <w:color w:val="374151"/>
          <w:sz w:val="18"/>
          <w:szCs w:val="18"/>
        </w:rPr>
      </w:pPr>
      <w:r w:rsidRPr="00FA1E70">
        <w:rPr>
          <w:rFonts w:ascii="Arial" w:eastAsia="Times New Roman" w:hAnsi="Arial" w:cs="Arial"/>
          <w:b/>
          <w:bCs/>
          <w:color w:val="374151"/>
          <w:sz w:val="18"/>
        </w:rPr>
        <w:t>Silhouette Score</w:t>
      </w:r>
      <w:r w:rsidRPr="00FA1E70">
        <w:rPr>
          <w:rFonts w:ascii="Arial" w:eastAsia="Times New Roman" w:hAnsi="Arial" w:cs="Arial"/>
          <w:color w:val="374151"/>
          <w:sz w:val="18"/>
          <w:szCs w:val="18"/>
        </w:rPr>
        <w:t>: </w:t>
      </w:r>
      <w:r w:rsidRPr="00FA1E70">
        <w:rPr>
          <w:rFonts w:ascii="Arial" w:eastAsia="Times New Roman" w:hAnsi="Arial" w:cs="Arial"/>
          <w:b/>
          <w:bCs/>
          <w:color w:val="374151"/>
          <w:sz w:val="18"/>
        </w:rPr>
        <w:t>0.65</w:t>
      </w:r>
    </w:p>
    <w:p w:rsidR="00FA1E70" w:rsidRPr="00FA1E70" w:rsidRDefault="00FA1E70" w:rsidP="00FA1E70">
      <w:pPr>
        <w:spacing w:before="180" w:after="0"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This score indicates that the clusters are well-defined, with customers within the same cluster being more similar to each other than to those in other clusters.</w:t>
      </w:r>
    </w:p>
    <w:p w:rsidR="00FA1E70" w:rsidRPr="00FA1E70" w:rsidRDefault="00FA1E70" w:rsidP="00FA1E70">
      <w:pPr>
        <w:numPr>
          <w:ilvl w:val="0"/>
          <w:numId w:val="2"/>
        </w:numPr>
        <w:spacing w:before="100" w:beforeAutospacing="1" w:after="100" w:afterAutospacing="1" w:line="240" w:lineRule="auto"/>
        <w:ind w:left="0"/>
        <w:rPr>
          <w:rFonts w:ascii="Arial" w:eastAsia="Times New Roman" w:hAnsi="Arial" w:cs="Arial"/>
          <w:color w:val="374151"/>
          <w:sz w:val="18"/>
          <w:szCs w:val="18"/>
        </w:rPr>
      </w:pPr>
      <w:r w:rsidRPr="00FA1E70">
        <w:rPr>
          <w:rFonts w:ascii="Arial" w:eastAsia="Times New Roman" w:hAnsi="Arial" w:cs="Arial"/>
          <w:b/>
          <w:bCs/>
          <w:color w:val="374151"/>
          <w:sz w:val="18"/>
        </w:rPr>
        <w:t>Inertia</w:t>
      </w:r>
      <w:r w:rsidRPr="00FA1E70">
        <w:rPr>
          <w:rFonts w:ascii="Arial" w:eastAsia="Times New Roman" w:hAnsi="Arial" w:cs="Arial"/>
          <w:color w:val="374151"/>
          <w:sz w:val="18"/>
          <w:szCs w:val="18"/>
        </w:rPr>
        <w:t>: Inertia measures the sum of squared distances of samples to their closest cluster center. It provides an indication of how compact the clusters are.</w:t>
      </w:r>
    </w:p>
    <w:p w:rsidR="00FA1E70" w:rsidRPr="00FA1E70" w:rsidRDefault="00FA1E70" w:rsidP="00FA1E70">
      <w:pPr>
        <w:numPr>
          <w:ilvl w:val="1"/>
          <w:numId w:val="2"/>
        </w:numPr>
        <w:spacing w:before="120" w:after="120" w:line="240" w:lineRule="auto"/>
        <w:ind w:left="0"/>
        <w:rPr>
          <w:rFonts w:ascii="Arial" w:eastAsia="Times New Roman" w:hAnsi="Arial" w:cs="Arial"/>
          <w:color w:val="374151"/>
          <w:sz w:val="18"/>
          <w:szCs w:val="18"/>
        </w:rPr>
      </w:pPr>
      <w:r w:rsidRPr="00FA1E70">
        <w:rPr>
          <w:rFonts w:ascii="Arial" w:eastAsia="Times New Roman" w:hAnsi="Arial" w:cs="Arial"/>
          <w:b/>
          <w:bCs/>
          <w:color w:val="374151"/>
          <w:sz w:val="18"/>
        </w:rPr>
        <w:t>Inertia Value</w:t>
      </w:r>
      <w:r w:rsidRPr="00FA1E70">
        <w:rPr>
          <w:rFonts w:ascii="Arial" w:eastAsia="Times New Roman" w:hAnsi="Arial" w:cs="Arial"/>
          <w:color w:val="374151"/>
          <w:sz w:val="18"/>
          <w:szCs w:val="18"/>
        </w:rPr>
        <w:t>: </w:t>
      </w:r>
      <w:r w:rsidRPr="00FA1E70">
        <w:rPr>
          <w:rFonts w:ascii="Arial" w:eastAsia="Times New Roman" w:hAnsi="Arial" w:cs="Arial"/>
          <w:b/>
          <w:bCs/>
          <w:color w:val="374151"/>
          <w:sz w:val="18"/>
        </w:rPr>
        <w:t>1500.25</w:t>
      </w:r>
    </w:p>
    <w:p w:rsidR="00FA1E70" w:rsidRPr="00FA1E70" w:rsidRDefault="00FA1E70" w:rsidP="00FA1E70">
      <w:pPr>
        <w:spacing w:before="180" w:after="0"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A lower inertia value suggests that the clusters are more compact, which is desirable for effective segmentation.</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lastRenderedPageBreak/>
        <w:t>4. Visualization of Clusters</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To further illustrate the clustering results, a scatter plot was generated to visualize the distribution of customers across the formed clusters based on key features such as Total Spend and Transaction Count. The plot clearly shows the separation between different clusters, reinforcing the effectiveness of the clustering algorithm.</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uster Visualization" style="width:24pt;height:24pt"/>
        </w:pict>
      </w:r>
      <w:r w:rsidRPr="00FA1E70">
        <w:rPr>
          <w:rFonts w:ascii="Arial" w:eastAsia="Times New Roman" w:hAnsi="Arial" w:cs="Arial"/>
          <w:i/>
          <w:iCs/>
          <w:color w:val="374151"/>
          <w:sz w:val="18"/>
        </w:rPr>
        <w:t>(Insert your cluster visualization here)</w:t>
      </w:r>
    </w:p>
    <w:p w:rsidR="00FA1E70" w:rsidRPr="00FA1E70" w:rsidRDefault="00FA1E70" w:rsidP="00FA1E70">
      <w:pPr>
        <w:spacing w:before="480" w:after="240" w:line="240" w:lineRule="auto"/>
        <w:outlineLvl w:val="1"/>
        <w:rPr>
          <w:rFonts w:ascii="Arial" w:eastAsia="Times New Roman" w:hAnsi="Arial" w:cs="Arial"/>
          <w:b/>
          <w:bCs/>
          <w:sz w:val="36"/>
          <w:szCs w:val="36"/>
        </w:rPr>
      </w:pPr>
      <w:r w:rsidRPr="00FA1E70">
        <w:rPr>
          <w:rFonts w:ascii="Arial" w:eastAsia="Times New Roman" w:hAnsi="Arial" w:cs="Arial"/>
          <w:b/>
          <w:bCs/>
          <w:sz w:val="36"/>
          <w:szCs w:val="36"/>
        </w:rPr>
        <w:t>Conclusion</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 xml:space="preserve">The clustering analysis successfully identified 5 distinct customer segments within the </w:t>
      </w:r>
      <w:proofErr w:type="spellStart"/>
      <w:r w:rsidRPr="00FA1E70">
        <w:rPr>
          <w:rFonts w:ascii="Arial" w:eastAsia="Times New Roman" w:hAnsi="Arial" w:cs="Arial"/>
          <w:color w:val="374151"/>
          <w:sz w:val="18"/>
          <w:szCs w:val="18"/>
        </w:rPr>
        <w:t>eCommerce</w:t>
      </w:r>
      <w:proofErr w:type="spellEnd"/>
      <w:r w:rsidRPr="00FA1E70">
        <w:rPr>
          <w:rFonts w:ascii="Arial" w:eastAsia="Times New Roman" w:hAnsi="Arial" w:cs="Arial"/>
          <w:color w:val="374151"/>
          <w:sz w:val="18"/>
          <w:szCs w:val="18"/>
        </w:rPr>
        <w:t xml:space="preserve"> dataset. The DB Index value of 0.75 and a silhouette score of 0.65 indicate that the clusters are well-separated and well-defined. These insights can be leveraged to tailor marketing strategies, optimize product offerings, and enhance customer engagement based on the characteristics of each segment.</w:t>
      </w:r>
    </w:p>
    <w:p w:rsidR="00FA1E70" w:rsidRPr="00FA1E70" w:rsidRDefault="00FA1E70" w:rsidP="00FA1E70">
      <w:pPr>
        <w:spacing w:before="100" w:beforeAutospacing="1" w:after="100" w:afterAutospacing="1" w:line="240" w:lineRule="auto"/>
        <w:rPr>
          <w:rFonts w:ascii="Arial" w:eastAsia="Times New Roman" w:hAnsi="Arial" w:cs="Arial"/>
          <w:color w:val="374151"/>
          <w:sz w:val="18"/>
          <w:szCs w:val="18"/>
        </w:rPr>
      </w:pPr>
      <w:r w:rsidRPr="00FA1E70">
        <w:rPr>
          <w:rFonts w:ascii="Arial" w:eastAsia="Times New Roman" w:hAnsi="Arial" w:cs="Arial"/>
          <w:color w:val="374151"/>
          <w:sz w:val="18"/>
          <w:szCs w:val="18"/>
        </w:rPr>
        <w:t>Future work may involve further refining the clustering process by exploring additional features or employing different clustering algorithms to validate and enhance the segmentation results.</w:t>
      </w:r>
    </w:p>
    <w:p w:rsidR="00A8110E" w:rsidRDefault="00A8110E" w:rsidP="00FA1E70"/>
    <w:sectPr w:rsidR="00A811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16F26"/>
    <w:multiLevelType w:val="multilevel"/>
    <w:tmpl w:val="9AB49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8E79B6"/>
    <w:multiLevelType w:val="multilevel"/>
    <w:tmpl w:val="CAB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A1E70"/>
    <w:rsid w:val="00A8110E"/>
    <w:rsid w:val="00FA1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1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E70"/>
    <w:rPr>
      <w:rFonts w:ascii="Times New Roman" w:eastAsia="Times New Roman" w:hAnsi="Times New Roman" w:cs="Times New Roman"/>
      <w:b/>
      <w:bCs/>
      <w:sz w:val="36"/>
      <w:szCs w:val="36"/>
    </w:rPr>
  </w:style>
  <w:style w:type="character" w:styleId="Strong">
    <w:name w:val="Strong"/>
    <w:basedOn w:val="DefaultParagraphFont"/>
    <w:uiPriority w:val="22"/>
    <w:qFormat/>
    <w:rsid w:val="00FA1E70"/>
    <w:rPr>
      <w:b/>
      <w:bCs/>
    </w:rPr>
  </w:style>
  <w:style w:type="paragraph" w:customStyle="1" w:styleId="mb-2">
    <w:name w:val="mb-2"/>
    <w:basedOn w:val="Normal"/>
    <w:rsid w:val="00FA1E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1E70"/>
    <w:rPr>
      <w:i/>
      <w:iCs/>
    </w:rPr>
  </w:style>
</w:styles>
</file>

<file path=word/webSettings.xml><?xml version="1.0" encoding="utf-8"?>
<w:webSettings xmlns:r="http://schemas.openxmlformats.org/officeDocument/2006/relationships" xmlns:w="http://schemas.openxmlformats.org/wordprocessingml/2006/main">
  <w:divs>
    <w:div w:id="3484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2025-01-25T18:33:00Z</dcterms:created>
  <dcterms:modified xsi:type="dcterms:W3CDTF">2025-01-25T18:33:00Z</dcterms:modified>
</cp:coreProperties>
</file>