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100"/>
        <w:jc w:val="center"/>
      </w:pPr>
      <w:r>
        <w:rPr>
          <w:rFonts w:ascii="Arial" w:cs="Arial" w:eastAsia="Arial" w:hAnsi="Arial"/>
          <w:b/>
          <w:bCs/>
          <w:color w:val="00897B"/>
          <w:sz w:val="56"/>
          <w:szCs w:val="56"/>
        </w:rPr>
        <w:t xml:space="preserve">COVID-19 GLOBAL PANDEMIC ANALYSIS</w:t>
      </w:r>
    </w:p>
    <w:p>
      <w:pPr>
        <w:spacing w:after="80"/>
        <w:jc w:val="center"/>
      </w:pPr>
      <w:r>
        <w:rPr>
          <w:rFonts w:ascii="Arial" w:cs="Arial" w:eastAsia="Arial" w:hAnsi="Arial"/>
          <w:color w:val="4A4A4A"/>
          <w:sz w:val="26"/>
          <w:szCs w:val="26"/>
        </w:rPr>
        <w:t xml:space="preserve">Data Cleaning, Exploratory Analysis, Statistical Testing &amp; Insight Generation</w:t>
      </w:r>
    </w:p>
    <w:p>
      <w:pPr>
        <w:spacing w:after="100"/>
      </w:pPr>
      <w:r>
        <w:t xml:space="preserve"/>
      </w:r>
    </w:p>
    <w:p>
      <w:pPr>
        <w:pBdr>
          <w:top w:val="single" w:color="00897B" w:sz="4" w:space="10"/>
          <w:bottom w:val="single" w:color="00897B" w:sz="4" w:space="10"/>
        </w:pBdr>
        <w:spacing w:before="200" w:after="200"/>
        <w:jc w:val="center"/>
      </w:pPr>
      <w:r>
        <w:rPr>
          <w:rFonts w:ascii="Arial" w:cs="Arial" w:eastAsia="Arial" w:hAnsi="Arial"/>
          <w:color w:val="1C2833"/>
          <w:sz w:val="22"/>
          <w:szCs w:val="22"/>
        </w:rPr>
        <w:t xml:space="preserve">Student: Huzaifa Toufeeq   |   February 1, 2025   |   DEVSIL (SMC-PRIVATE) LIMITED</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4F6F7" w:val="clear"/>
            <w:tcMar>
              <w:top w:type="dxa" w:w="80"/>
              <w:left w:type="dxa" w:w="160"/>
              <w:bottom w:type="dxa" w:w="80"/>
              <w:right w:type="dxa" w:w="160"/>
            </w:tcMar>
          </w:tcPr>
          <w:p>
            <w:r>
              <w:rPr>
                <w:rFonts w:ascii="Arial" w:cs="Arial" w:eastAsia="Arial" w:hAnsi="Arial"/>
                <w:b/>
                <w:bCs/>
                <w:color w:val="1C2833"/>
                <w:sz w:val="20"/>
                <w:szCs w:val="20"/>
              </w:rPr>
              <w:t xml:space="preserve">Student Name</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20"/>
                <w:szCs w:val="20"/>
              </w:rPr>
              <w:t xml:space="preserve">Huzaifa Toufeeq</w:t>
            </w:r>
          </w:p>
        </w:tc>
      </w:tr>
      <w:tr>
        <w:tc>
          <w:tcPr>
            <w:tcW w:type="dxa" w:w="3200"/>
            <w:tcBorders>
              <w:top w:val="single" w:color="CCCCCC" w:sz="1"/>
              <w:left w:val="single" w:color="CCCCCC" w:sz="1"/>
              <w:bottom w:val="single" w:color="CCCCCC" w:sz="1"/>
              <w:right w:val="single" w:color="CCCCCC" w:sz="1"/>
            </w:tcBorders>
            <w:shd w:fill="F4F6F7" w:val="clear"/>
            <w:tcMar>
              <w:top w:type="dxa" w:w="80"/>
              <w:left w:type="dxa" w:w="160"/>
              <w:bottom w:type="dxa" w:w="80"/>
              <w:right w:type="dxa" w:w="160"/>
            </w:tcMar>
          </w:tcPr>
          <w:p>
            <w:r>
              <w:rPr>
                <w:rFonts w:ascii="Arial" w:cs="Arial" w:eastAsia="Arial" w:hAnsi="Arial"/>
                <w:b/>
                <w:bCs/>
                <w:color w:val="1C2833"/>
                <w:sz w:val="20"/>
                <w:szCs w:val="20"/>
              </w:rPr>
              <w:t xml:space="preserve">Company</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20"/>
                <w:szCs w:val="20"/>
              </w:rPr>
              <w:t xml:space="preserve">DEVSIL (SMC-PRIVATE) LIMITED</w:t>
            </w:r>
          </w:p>
        </w:tc>
      </w:tr>
      <w:tr>
        <w:tc>
          <w:tcPr>
            <w:tcW w:type="dxa" w:w="3200"/>
            <w:tcBorders>
              <w:top w:val="single" w:color="CCCCCC" w:sz="1"/>
              <w:left w:val="single" w:color="CCCCCC" w:sz="1"/>
              <w:bottom w:val="single" w:color="CCCCCC" w:sz="1"/>
              <w:right w:val="single" w:color="CCCCCC" w:sz="1"/>
            </w:tcBorders>
            <w:shd w:fill="F4F6F7" w:val="clear"/>
            <w:tcMar>
              <w:top w:type="dxa" w:w="80"/>
              <w:left w:type="dxa" w:w="160"/>
              <w:bottom w:type="dxa" w:w="80"/>
              <w:right w:type="dxa" w:w="160"/>
            </w:tcMar>
          </w:tcPr>
          <w:p>
            <w:r>
              <w:rPr>
                <w:rFonts w:ascii="Arial" w:cs="Arial" w:eastAsia="Arial" w:hAnsi="Arial"/>
                <w:b/>
                <w:bCs/>
                <w:color w:val="1C2833"/>
                <w:sz w:val="20"/>
                <w:szCs w:val="20"/>
              </w:rPr>
              <w:t xml:space="preserve">Project Title</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20"/>
                <w:szCs w:val="20"/>
              </w:rPr>
              <w:t xml:space="preserve">COVID-19 Global Pandemic Analysis — Mini Project</w:t>
            </w:r>
          </w:p>
        </w:tc>
      </w:tr>
      <w:tr>
        <w:tc>
          <w:tcPr>
            <w:tcW w:type="dxa" w:w="3200"/>
            <w:tcBorders>
              <w:top w:val="single" w:color="CCCCCC" w:sz="1"/>
              <w:left w:val="single" w:color="CCCCCC" w:sz="1"/>
              <w:bottom w:val="single" w:color="CCCCCC" w:sz="1"/>
              <w:right w:val="single" w:color="CCCCCC" w:sz="1"/>
            </w:tcBorders>
            <w:shd w:fill="F4F6F7" w:val="clear"/>
            <w:tcMar>
              <w:top w:type="dxa" w:w="80"/>
              <w:left w:type="dxa" w:w="160"/>
              <w:bottom w:type="dxa" w:w="80"/>
              <w:right w:type="dxa" w:w="160"/>
            </w:tcMar>
          </w:tcPr>
          <w:p>
            <w:r>
              <w:rPr>
                <w:rFonts w:ascii="Arial" w:cs="Arial" w:eastAsia="Arial" w:hAnsi="Arial"/>
                <w:b/>
                <w:bCs/>
                <w:color w:val="1C2833"/>
                <w:sz w:val="20"/>
                <w:szCs w:val="20"/>
              </w:rPr>
              <w:t xml:space="preserve">Dataset Source</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20"/>
                <w:szCs w:val="20"/>
              </w:rPr>
              <w:t xml:space="preserve">Our World in Data — COVID-19 Dataset (Kaggle)</w:t>
            </w:r>
          </w:p>
        </w:tc>
      </w:tr>
      <w:tr>
        <w:tc>
          <w:tcPr>
            <w:tcW w:type="dxa" w:w="3200"/>
            <w:tcBorders>
              <w:top w:val="single" w:color="CCCCCC" w:sz="1"/>
              <w:left w:val="single" w:color="CCCCCC" w:sz="1"/>
              <w:bottom w:val="single" w:color="CCCCCC" w:sz="1"/>
              <w:right w:val="single" w:color="CCCCCC" w:sz="1"/>
            </w:tcBorders>
            <w:shd w:fill="F4F6F7" w:val="clear"/>
            <w:tcMar>
              <w:top w:type="dxa" w:w="80"/>
              <w:left w:type="dxa" w:w="160"/>
              <w:bottom w:type="dxa" w:w="80"/>
              <w:right w:type="dxa" w:w="160"/>
            </w:tcMar>
          </w:tcPr>
          <w:p>
            <w:r>
              <w:rPr>
                <w:rFonts w:ascii="Arial" w:cs="Arial" w:eastAsia="Arial" w:hAnsi="Arial"/>
                <w:b/>
                <w:bCs/>
                <w:color w:val="1C2833"/>
                <w:sz w:val="20"/>
                <w:szCs w:val="20"/>
              </w:rPr>
              <w:t xml:space="preserve">Countries Analysed</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20"/>
                <w:szCs w:val="20"/>
              </w:rPr>
              <w:t xml:space="preserve">United States, India, Brazil, United Kingdom, Germany, South Africa, Australia</w:t>
            </w:r>
          </w:p>
        </w:tc>
      </w:tr>
      <w:tr>
        <w:tc>
          <w:tcPr>
            <w:tcW w:type="dxa" w:w="3200"/>
            <w:tcBorders>
              <w:top w:val="single" w:color="CCCCCC" w:sz="1"/>
              <w:left w:val="single" w:color="CCCCCC" w:sz="1"/>
              <w:bottom w:val="single" w:color="CCCCCC" w:sz="1"/>
              <w:right w:val="single" w:color="CCCCCC" w:sz="1"/>
            </w:tcBorders>
            <w:shd w:fill="F4F6F7" w:val="clear"/>
            <w:tcMar>
              <w:top w:type="dxa" w:w="80"/>
              <w:left w:type="dxa" w:w="160"/>
              <w:bottom w:type="dxa" w:w="80"/>
              <w:right w:type="dxa" w:w="160"/>
            </w:tcMar>
          </w:tcPr>
          <w:p>
            <w:r>
              <w:rPr>
                <w:rFonts w:ascii="Arial" w:cs="Arial" w:eastAsia="Arial" w:hAnsi="Arial"/>
                <w:b/>
                <w:bCs/>
                <w:color w:val="1C2833"/>
                <w:sz w:val="20"/>
                <w:szCs w:val="20"/>
              </w:rPr>
              <w:t xml:space="preserve">Date Range</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20"/>
                <w:szCs w:val="20"/>
              </w:rPr>
              <w:t xml:space="preserve">March 2020 — March 2022 (Monthly)</w:t>
            </w:r>
          </w:p>
        </w:tc>
      </w:tr>
      <w:tr>
        <w:tc>
          <w:tcPr>
            <w:tcW w:type="dxa" w:w="3200"/>
            <w:tcBorders>
              <w:top w:val="single" w:color="CCCCCC" w:sz="1"/>
              <w:left w:val="single" w:color="CCCCCC" w:sz="1"/>
              <w:bottom w:val="single" w:color="CCCCCC" w:sz="1"/>
              <w:right w:val="single" w:color="CCCCCC" w:sz="1"/>
            </w:tcBorders>
            <w:shd w:fill="F4F6F7" w:val="clear"/>
            <w:tcMar>
              <w:top w:type="dxa" w:w="80"/>
              <w:left w:type="dxa" w:w="160"/>
              <w:bottom w:type="dxa" w:w="80"/>
              <w:right w:type="dxa" w:w="160"/>
            </w:tcMar>
          </w:tcPr>
          <w:p>
            <w:r>
              <w:rPr>
                <w:rFonts w:ascii="Arial" w:cs="Arial" w:eastAsia="Arial" w:hAnsi="Arial"/>
                <w:b/>
                <w:bCs/>
                <w:color w:val="1C2833"/>
                <w:sz w:val="20"/>
                <w:szCs w:val="20"/>
              </w:rPr>
              <w:t xml:space="preserve">Tools Used</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20"/>
                <w:szCs w:val="20"/>
              </w:rPr>
              <w:t xml:space="preserve">Python, Pandas, NumPy, Matplotlib, Seaborn, SciPy</w:t>
            </w:r>
          </w:p>
        </w:tc>
      </w:tr>
      <w:tr>
        <w:tc>
          <w:tcPr>
            <w:tcW w:type="dxa" w:w="3200"/>
            <w:tcBorders>
              <w:top w:val="single" w:color="CCCCCC" w:sz="1"/>
              <w:left w:val="single" w:color="CCCCCC" w:sz="1"/>
              <w:bottom w:val="single" w:color="CCCCCC" w:sz="1"/>
              <w:right w:val="single" w:color="CCCCCC" w:sz="1"/>
            </w:tcBorders>
            <w:shd w:fill="F4F6F7" w:val="clear"/>
            <w:tcMar>
              <w:top w:type="dxa" w:w="80"/>
              <w:left w:type="dxa" w:w="160"/>
              <w:bottom w:type="dxa" w:w="80"/>
              <w:right w:type="dxa" w:w="160"/>
            </w:tcMar>
          </w:tcPr>
          <w:p>
            <w:r>
              <w:rPr>
                <w:rFonts w:ascii="Arial" w:cs="Arial" w:eastAsia="Arial" w:hAnsi="Arial"/>
                <w:b/>
                <w:bCs/>
                <w:color w:val="1C2833"/>
                <w:sz w:val="20"/>
                <w:szCs w:val="20"/>
              </w:rPr>
              <w:t xml:space="preserve">Statistical Tests Applied</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20"/>
                <w:szCs w:val="20"/>
              </w:rPr>
              <w:t xml:space="preserve">Shapiro-Wilk, Mann-Whitney U, Pearson Correlation, Welch t-Test, Spearman Rank</w:t>
            </w:r>
          </w:p>
        </w:tc>
      </w:tr>
    </w:tbl>
    <w:p>
      <w:pPr>
        <w:spacing w:after="200"/>
      </w:pPr>
      <w:r>
        <w:t xml:space="preserve"/>
      </w:r>
    </w:p>
    <w:p>
      <w:r>
        <w:br w:type="page"/>
      </w:r>
    </w:p>
    <w:p>
      <w:pPr>
        <w:pStyle w:val="Heading1"/>
        <w:pBdr>
          <w:bottom w:val="single" w:color="00897B" w:sz="4" w:space="6"/>
        </w:pBdr>
        <w:spacing w:before="400" w:after="140"/>
      </w:pPr>
      <w:r>
        <w:rPr>
          <w:rFonts w:ascii="Arial" w:cs="Arial" w:eastAsia="Arial" w:hAnsi="Arial"/>
          <w:b/>
          <w:bCs/>
          <w:color w:val="00897B"/>
          <w:sz w:val="30"/>
          <w:szCs w:val="30"/>
        </w:rPr>
        <w:t xml:space="preserve">1. Executive Summary</w:t>
      </w:r>
    </w:p>
    <w:p>
      <w:pPr>
        <w:spacing w:after="130"/>
      </w:pPr>
      <w:r>
        <w:rPr>
          <w:rFonts w:ascii="Arial" w:cs="Arial" w:eastAsia="Arial" w:hAnsi="Arial"/>
          <w:color w:val="4A4A4A"/>
          <w:sz w:val="22"/>
          <w:szCs w:val="22"/>
        </w:rPr>
        <w:t xml:space="preserve">This report documents a comprehensive data analysis of the global COVID-19 pandemic, conducted as the DEVSIL Day-66 Mini Project capstone. The analysis uses a monthly time-series dataset covering seven countries across five continents, spanning March 2020 to March 2022. The project addresses 15 original analytical questions, applies five distinct statistical tests, and generates actionable insights grounded in data.</w:t>
      </w:r>
    </w:p>
    <w:p>
      <w:pPr>
        <w:spacing w:after="130"/>
      </w:pPr>
      <w:r>
        <w:rPr>
          <w:rFonts w:ascii="Arial" w:cs="Arial" w:eastAsia="Arial" w:hAnsi="Arial"/>
          <w:color w:val="4A4A4A"/>
          <w:sz w:val="22"/>
          <w:szCs w:val="22"/>
        </w:rPr>
        <w:t xml:space="preserve">The pandemic caused unprecedented disruption worldwide. The findings presented here illuminate how the virus spread differently across countries, how vaccination campaigns modified its trajectory, and how socioeconomic factors shaped the pandemic's ultimate toll. The analysis also demonstrates the importance of choosing appropriate statistical methods given the non-normal nature of epidemiological data.</w:t>
      </w:r>
    </w:p>
    <w:p>
      <w:pPr>
        <w:spacing w:after="100"/>
      </w:pPr>
      <w:r>
        <w:t xml:space="preserve"/>
      </w:r>
    </w:p>
    <w:p>
      <w:pPr>
        <w:pStyle w:val="Heading1"/>
        <w:pBdr>
          <w:bottom w:val="single" w:color="00897B" w:sz="4" w:space="6"/>
        </w:pBdr>
        <w:spacing w:before="400" w:after="140"/>
      </w:pPr>
      <w:r>
        <w:rPr>
          <w:rFonts w:ascii="Arial" w:cs="Arial" w:eastAsia="Arial" w:hAnsi="Arial"/>
          <w:b/>
          <w:bCs/>
          <w:color w:val="00897B"/>
          <w:sz w:val="30"/>
          <w:szCs w:val="30"/>
        </w:rPr>
        <w:t xml:space="preserve">2. Dataset Description</w:t>
      </w:r>
    </w:p>
    <w:p>
      <w:pPr>
        <w:pStyle w:val="Heading2"/>
        <w:spacing w:before="260" w:after="100"/>
      </w:pPr>
      <w:r>
        <w:rPr>
          <w:rFonts w:ascii="Arial" w:cs="Arial" w:eastAsia="Arial" w:hAnsi="Arial"/>
          <w:b/>
          <w:bCs/>
          <w:color w:val="1C2833"/>
          <w:sz w:val="24"/>
          <w:szCs w:val="24"/>
        </w:rPr>
        <w:t xml:space="preserve">2.1 Source</w:t>
      </w:r>
    </w:p>
    <w:p>
      <w:pPr>
        <w:spacing w:after="130"/>
      </w:pPr>
      <w:r>
        <w:rPr>
          <w:rFonts w:ascii="Arial" w:cs="Arial" w:eastAsia="Arial" w:hAnsi="Arial"/>
          <w:color w:val="4A4A4A"/>
          <w:sz w:val="22"/>
          <w:szCs w:val="22"/>
        </w:rPr>
        <w:t xml:space="preserve">The dataset is derived from Our World in Data's COVID-19 tracking project, one of the most widely cited sources in epidemiological research. It is publicly available on Kaggle. The dataset aggregates data from government health ministries, the World Health Organisation, and Our World in Data's own research team.</w:t>
      </w:r>
    </w:p>
    <w:p>
      <w:pPr>
        <w:pStyle w:val="Heading2"/>
        <w:spacing w:before="260" w:after="100"/>
      </w:pPr>
      <w:r>
        <w:rPr>
          <w:rFonts w:ascii="Arial" w:cs="Arial" w:eastAsia="Arial" w:hAnsi="Arial"/>
          <w:b/>
          <w:bCs/>
          <w:color w:val="1C2833"/>
          <w:sz w:val="24"/>
          <w:szCs w:val="24"/>
        </w:rPr>
        <w:t xml:space="preserve">2.2 Key Variables</w:t>
      </w:r>
    </w:p>
    <w:p>
      <w:pPr>
        <w:pStyle w:val="ListParagraph"/>
        <w:numPr>
          <w:ilvl w:val="0"/>
          <w:numId w:val="2"/>
        </w:numPr>
        <w:spacing w:after="90"/>
      </w:pPr>
      <w:r>
        <w:rPr>
          <w:rFonts w:ascii="Arial" w:cs="Arial" w:eastAsia="Arial" w:hAnsi="Arial"/>
          <w:color w:val="4A4A4A"/>
          <w:sz w:val="22"/>
          <w:szCs w:val="22"/>
        </w:rPr>
        <w:t xml:space="preserve">total_cases / new_cases — Cumulative and monthly confirmed COVID-19 infections</w:t>
      </w:r>
    </w:p>
    <w:p>
      <w:pPr>
        <w:pStyle w:val="ListParagraph"/>
        <w:numPr>
          <w:ilvl w:val="0"/>
          <w:numId w:val="2"/>
        </w:numPr>
        <w:spacing w:after="90"/>
      </w:pPr>
      <w:r>
        <w:rPr>
          <w:rFonts w:ascii="Arial" w:cs="Arial" w:eastAsia="Arial" w:hAnsi="Arial"/>
          <w:color w:val="4A4A4A"/>
          <w:sz w:val="22"/>
          <w:szCs w:val="22"/>
        </w:rPr>
        <w:t xml:space="preserve">total_deaths / new_deaths — Cumulative and monthly confirmed deaths</w:t>
      </w:r>
    </w:p>
    <w:p>
      <w:pPr>
        <w:pStyle w:val="ListParagraph"/>
        <w:numPr>
          <w:ilvl w:val="0"/>
          <w:numId w:val="2"/>
        </w:numPr>
        <w:spacing w:after="90"/>
      </w:pPr>
      <w:r>
        <w:rPr>
          <w:rFonts w:ascii="Arial" w:cs="Arial" w:eastAsia="Arial" w:hAnsi="Arial"/>
          <w:color w:val="4A4A4A"/>
          <w:sz w:val="22"/>
          <w:szCs w:val="22"/>
        </w:rPr>
        <w:t xml:space="preserve">total_vaccinations / people_vaccinated / people_fully_vaccinated — Vaccination progress metrics</w:t>
      </w:r>
    </w:p>
    <w:p>
      <w:pPr>
        <w:pStyle w:val="ListParagraph"/>
        <w:numPr>
          <w:ilvl w:val="0"/>
          <w:numId w:val="2"/>
        </w:numPr>
        <w:spacing w:after="90"/>
      </w:pPr>
      <w:r>
        <w:rPr>
          <w:rFonts w:ascii="Arial" w:cs="Arial" w:eastAsia="Arial" w:hAnsi="Arial"/>
          <w:color w:val="4A4A4A"/>
          <w:sz w:val="22"/>
          <w:szCs w:val="22"/>
        </w:rPr>
        <w:t xml:space="preserve">total_cases_per_million / total_deaths_per_million — Population-normalised burden metrics</w:t>
      </w:r>
    </w:p>
    <w:p>
      <w:pPr>
        <w:pStyle w:val="ListParagraph"/>
        <w:numPr>
          <w:ilvl w:val="0"/>
          <w:numId w:val="2"/>
        </w:numPr>
        <w:spacing w:after="90"/>
      </w:pPr>
      <w:r>
        <w:rPr>
          <w:rFonts w:ascii="Arial" w:cs="Arial" w:eastAsia="Arial" w:hAnsi="Arial"/>
          <w:color w:val="4A4A4A"/>
          <w:sz w:val="22"/>
          <w:szCs w:val="22"/>
        </w:rPr>
        <w:t xml:space="preserve">reproduction_rate — Estimated effective reproduction number (R)</w:t>
      </w:r>
    </w:p>
    <w:p>
      <w:pPr>
        <w:pStyle w:val="ListParagraph"/>
        <w:numPr>
          <w:ilvl w:val="0"/>
          <w:numId w:val="2"/>
        </w:numPr>
        <w:spacing w:after="90"/>
      </w:pPr>
      <w:r>
        <w:rPr>
          <w:rFonts w:ascii="Arial" w:cs="Arial" w:eastAsia="Arial" w:hAnsi="Arial"/>
          <w:color w:val="4A4A4A"/>
          <w:sz w:val="22"/>
          <w:szCs w:val="22"/>
        </w:rPr>
        <w:t xml:space="preserve">case_fatality_rate (derived) — Ratio of deaths to confirmed cases as a percentage</w:t>
      </w:r>
    </w:p>
    <w:p>
      <w:pPr>
        <w:pStyle w:val="ListParagraph"/>
        <w:numPr>
          <w:ilvl w:val="0"/>
          <w:numId w:val="2"/>
        </w:numPr>
        <w:spacing w:after="90"/>
      </w:pPr>
      <w:r>
        <w:rPr>
          <w:rFonts w:ascii="Arial" w:cs="Arial" w:eastAsia="Arial" w:hAnsi="Arial"/>
          <w:color w:val="4A4A4A"/>
          <w:sz w:val="22"/>
          <w:szCs w:val="22"/>
        </w:rPr>
        <w:t xml:space="preserve">vax_rate_pct (derived) — Proportion of population having received at least one vaccine dose</w:t>
      </w:r>
    </w:p>
    <w:p>
      <w:pPr>
        <w:pStyle w:val="ListParagraph"/>
        <w:numPr>
          <w:ilvl w:val="0"/>
          <w:numId w:val="2"/>
        </w:numPr>
        <w:spacing w:after="90"/>
      </w:pPr>
      <w:r>
        <w:rPr>
          <w:rFonts w:ascii="Arial" w:cs="Arial" w:eastAsia="Arial" w:hAnsi="Arial"/>
          <w:color w:val="4A4A4A"/>
          <w:sz w:val="22"/>
          <w:szCs w:val="22"/>
        </w:rPr>
        <w:t xml:space="preserve">gdp_per_capita, life_expectancy, median_age — Socioeconomic and demographic context variables</w:t>
      </w:r>
    </w:p>
    <w:p>
      <w:pPr>
        <w:spacing w:after="100"/>
      </w:pPr>
      <w:r>
        <w:t xml:space="preserve"/>
      </w:r>
    </w:p>
    <w:p>
      <w:pPr>
        <w:pStyle w:val="Heading1"/>
        <w:pBdr>
          <w:bottom w:val="single" w:color="00897B" w:sz="4" w:space="6"/>
        </w:pBdr>
        <w:spacing w:before="400" w:after="140"/>
      </w:pPr>
      <w:r>
        <w:rPr>
          <w:rFonts w:ascii="Arial" w:cs="Arial" w:eastAsia="Arial" w:hAnsi="Arial"/>
          <w:b/>
          <w:bCs/>
          <w:color w:val="00897B"/>
          <w:sz w:val="30"/>
          <w:szCs w:val="30"/>
        </w:rPr>
        <w:t xml:space="preserve">3. Data Cleaning and Preprocessing</w:t>
      </w:r>
    </w:p>
    <w:p>
      <w:pPr>
        <w:pStyle w:val="Heading2"/>
        <w:spacing w:before="260" w:after="100"/>
      </w:pPr>
      <w:r>
        <w:rPr>
          <w:rFonts w:ascii="Arial" w:cs="Arial" w:eastAsia="Arial" w:hAnsi="Arial"/>
          <w:b/>
          <w:bCs/>
          <w:color w:val="1C2833"/>
          <w:sz w:val="24"/>
          <w:szCs w:val="24"/>
        </w:rPr>
        <w:t xml:space="preserve">3.1 Missing Value Treatment</w:t>
      </w:r>
    </w:p>
    <w:p>
      <w:pPr>
        <w:spacing w:after="130"/>
      </w:pPr>
      <w:r>
        <w:rPr>
          <w:rFonts w:ascii="Arial" w:cs="Arial" w:eastAsia="Arial" w:hAnsi="Arial"/>
          <w:color w:val="4A4A4A"/>
          <w:sz w:val="22"/>
          <w:szCs w:val="22"/>
        </w:rPr>
        <w:t xml:space="preserve">Vaccination columns contained legitimate zeros for dates prior to vaccine availability (before December 2020). These were retained as zero rather than imputed with median values, which would have artificially inflated pre-vaccine counts. All remaining numeric missing values were filled with the column median. Categorical columns were filled with the label "Unknown" where applicable.</w:t>
      </w:r>
    </w:p>
    <w:p>
      <w:pPr>
        <w:pStyle w:val="Heading2"/>
        <w:spacing w:before="260" w:after="100"/>
      </w:pPr>
      <w:r>
        <w:rPr>
          <w:rFonts w:ascii="Arial" w:cs="Arial" w:eastAsia="Arial" w:hAnsi="Arial"/>
          <w:b/>
          <w:bCs/>
          <w:color w:val="1C2833"/>
          <w:sz w:val="24"/>
          <w:szCs w:val="24"/>
        </w:rPr>
        <w:t xml:space="preserve">3.2 Derived Columns</w:t>
      </w:r>
    </w:p>
    <w:p>
      <w:pPr>
        <w:spacing w:after="130"/>
      </w:pPr>
      <w:r>
        <w:rPr>
          <w:rFonts w:ascii="Arial" w:cs="Arial" w:eastAsia="Arial" w:hAnsi="Arial"/>
          <w:color w:val="4A4A4A"/>
          <w:sz w:val="22"/>
          <w:szCs w:val="22"/>
        </w:rPr>
        <w:t xml:space="preserve">Two analytically important columns were derived from the raw data. The case_fatality_rate was calculated as (total_deaths / total_cases) x 100, providing a percentage mortality metric. The vax_rate_pct was calculated as (people_vaccinated / population) x 100, representing the proportion of the population that received at least one dose. These derived metrics are essential for cross-country comparisons on an equal basis.</w:t>
      </w:r>
    </w:p>
    <w:p>
      <w:pPr>
        <w:pStyle w:val="Heading2"/>
        <w:spacing w:before="260" w:after="100"/>
      </w:pPr>
      <w:r>
        <w:rPr>
          <w:rFonts w:ascii="Arial" w:cs="Arial" w:eastAsia="Arial" w:hAnsi="Arial"/>
          <w:b/>
          <w:bCs/>
          <w:color w:val="1C2833"/>
          <w:sz w:val="24"/>
          <w:szCs w:val="24"/>
        </w:rPr>
        <w:t xml:space="preserve">3.3 Data Quality Observations</w:t>
      </w:r>
    </w:p>
    <w:p>
      <w:pPr>
        <w:spacing w:after="130"/>
      </w:pPr>
      <w:r>
        <w:rPr>
          <w:rFonts w:ascii="Arial" w:cs="Arial" w:eastAsia="Arial" w:hAnsi="Arial"/>
          <w:color w:val="4A4A4A"/>
          <w:sz w:val="22"/>
          <w:szCs w:val="22"/>
        </w:rPr>
        <w:t xml:space="preserve">No duplicate records were found. Date columns were parsed to datetime format. The reproduction_rate column had gaps in early 2020 data for some countries, which were handled by restricting reproduction rate analysis to periods where values were available. All data passed basic consistency checks — total_cases is monotonically non-decreasing for each country, and total_deaths does not exceed total_cases at any point.</w:t>
      </w:r>
    </w:p>
    <w:p>
      <w:pPr>
        <w:spacing w:after="100"/>
      </w:pPr>
      <w:r>
        <w:t xml:space="preserve"/>
      </w:r>
    </w:p>
    <w:p>
      <w:pPr>
        <w:pStyle w:val="Heading1"/>
        <w:pBdr>
          <w:bottom w:val="single" w:color="00897B" w:sz="4" w:space="6"/>
        </w:pBdr>
        <w:spacing w:before="400" w:after="140"/>
      </w:pPr>
      <w:r>
        <w:rPr>
          <w:rFonts w:ascii="Arial" w:cs="Arial" w:eastAsia="Arial" w:hAnsi="Arial"/>
          <w:b/>
          <w:bCs/>
          <w:color w:val="00897B"/>
          <w:sz w:val="30"/>
          <w:szCs w:val="30"/>
        </w:rPr>
        <w:t xml:space="preserve">4. Analytical Questions and Findings</w:t>
      </w:r>
    </w:p>
    <w:p>
      <w:pPr>
        <w:spacing w:after="130"/>
      </w:pPr>
      <w:r>
        <w:rPr>
          <w:rFonts w:ascii="Arial" w:cs="Arial" w:eastAsia="Arial" w:hAnsi="Arial"/>
          <w:color w:val="4A4A4A"/>
          <w:sz w:val="22"/>
          <w:szCs w:val="22"/>
        </w:rPr>
        <w:t xml:space="preserve">The following 15 analytical questions were designed to cover multiple dimensions of the pandemic: temporal trends, geographic comparisons, vaccination effectiveness, and socioeconomic determinants.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600"/>
        <w:gridCol w:w="4160"/>
      </w:tblGrid>
      <w:tr>
        <w:tc>
          <w:tcPr>
            <w:tcW w:type="dxa" w:w="600"/>
            <w:tcBorders>
              <w:top w:val="single" w:color="CCCCCC" w:sz="1"/>
              <w:left w:val="single" w:color="CCCCCC" w:sz="1"/>
              <w:bottom w:val="single" w:color="CCCCCC" w:sz="1"/>
              <w:right w:val="single" w:color="CCCCCC" w:sz="1"/>
            </w:tcBorders>
            <w:shd w:fill="00897B" w:val="clear"/>
            <w:tcMar>
              <w:top w:type="dxa" w:w="70"/>
              <w:left w:type="dxa" w:w="100"/>
              <w:bottom w:type="dxa" w:w="70"/>
              <w:right w:type="dxa" w:w="100"/>
            </w:tcMar>
          </w:tcPr>
          <w:p>
            <w:r>
              <w:rPr>
                <w:rFonts w:ascii="Arial" w:cs="Arial" w:eastAsia="Arial" w:hAnsi="Arial"/>
                <w:b/>
                <w:bCs/>
                <w:color w:val="FFFFFF"/>
                <w:sz w:val="19"/>
                <w:szCs w:val="19"/>
              </w:rPr>
              <w:t xml:space="preserve">No.</w:t>
            </w:r>
          </w:p>
        </w:tc>
        <w:tc>
          <w:tcPr>
            <w:tcW w:type="dxa" w:w="4600"/>
            <w:tcBorders>
              <w:top w:val="single" w:color="CCCCCC" w:sz="1"/>
              <w:left w:val="single" w:color="CCCCCC" w:sz="1"/>
              <w:bottom w:val="single" w:color="CCCCCC" w:sz="1"/>
              <w:right w:val="single" w:color="CCCCCC" w:sz="1"/>
            </w:tcBorders>
            <w:shd w:fill="00897B" w:val="clear"/>
            <w:tcMar>
              <w:top w:type="dxa" w:w="70"/>
              <w:left w:type="dxa" w:w="120"/>
              <w:bottom w:type="dxa" w:w="70"/>
              <w:right w:type="dxa" w:w="120"/>
            </w:tcMar>
          </w:tcPr>
          <w:p>
            <w:r>
              <w:rPr>
                <w:rFonts w:ascii="Arial" w:cs="Arial" w:eastAsia="Arial" w:hAnsi="Arial"/>
                <w:b/>
                <w:bCs/>
                <w:color w:val="FFFFFF"/>
                <w:sz w:val="19"/>
                <w:szCs w:val="19"/>
              </w:rPr>
              <w:t xml:space="preserve">Question</w:t>
            </w:r>
          </w:p>
        </w:tc>
        <w:tc>
          <w:tcPr>
            <w:tcW w:type="dxa" w:w="4160"/>
            <w:tcBorders>
              <w:top w:val="single" w:color="CCCCCC" w:sz="1"/>
              <w:left w:val="single" w:color="CCCCCC" w:sz="1"/>
              <w:bottom w:val="single" w:color="CCCCCC" w:sz="1"/>
              <w:right w:val="single" w:color="CCCCCC" w:sz="1"/>
            </w:tcBorders>
            <w:shd w:fill="00897B" w:val="clear"/>
            <w:tcMar>
              <w:top w:type="dxa" w:w="70"/>
              <w:left w:type="dxa" w:w="120"/>
              <w:bottom w:type="dxa" w:w="70"/>
              <w:right w:type="dxa" w:w="120"/>
            </w:tcMar>
          </w:tcPr>
          <w:p>
            <w:r>
              <w:rPr>
                <w:rFonts w:ascii="Arial" w:cs="Arial" w:eastAsia="Arial" w:hAnsi="Arial"/>
                <w:b/>
                <w:bCs/>
                <w:color w:val="FFFFFF"/>
                <w:sz w:val="19"/>
                <w:szCs w:val="19"/>
              </w:rPr>
              <w:t xml:space="preserve">Key Finding</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97B"/>
                <w:sz w:val="18"/>
                <w:szCs w:val="18"/>
              </w:rPr>
              <w:t xml:space="preserve">Q1</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C2833"/>
                <w:sz w:val="18"/>
                <w:szCs w:val="18"/>
              </w:rPr>
              <w:t xml:space="preserve">How did total confirmed cases evolve over time per country?</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A4A4A"/>
                <w:sz w:val="18"/>
                <w:szCs w:val="18"/>
              </w:rPr>
              <w:t xml:space="preserve">US led throughout; all countries surged in late 2021–early 2022 (Omicron).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97B"/>
                <w:sz w:val="18"/>
                <w:szCs w:val="18"/>
              </w:rPr>
              <w:t xml:space="preserve">Q2</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C2833"/>
                <w:sz w:val="18"/>
                <w:szCs w:val="18"/>
              </w:rPr>
              <w:t xml:space="preserve">Which country recorded the highest single-month new cases?</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A4A4A"/>
                <w:sz w:val="18"/>
                <w:szCs w:val="18"/>
              </w:rPr>
              <w:t xml:space="preserve">United States in January 2022 at peak Omicron wave.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97B"/>
                <w:sz w:val="18"/>
                <w:szCs w:val="18"/>
              </w:rPr>
              <w:t xml:space="preserve">Q3</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C2833"/>
                <w:sz w:val="18"/>
                <w:szCs w:val="18"/>
              </w:rPr>
              <w:t xml:space="preserve">How do total deaths compare across countries?</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A4A4A"/>
                <w:sz w:val="18"/>
                <w:szCs w:val="18"/>
              </w:rPr>
              <w:t xml:space="preserve">US highest in absolute terms; Brazil had disproportionately high toll relative to population.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97B"/>
                <w:sz w:val="18"/>
                <w:szCs w:val="18"/>
              </w:rPr>
              <w:t xml:space="preserve">Q4</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C2833"/>
                <w:sz w:val="18"/>
                <w:szCs w:val="18"/>
              </w:rPr>
              <w:t xml:space="preserve">What is the CFR trend over time per country?</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A4A4A"/>
                <w:sz w:val="18"/>
                <w:szCs w:val="18"/>
              </w:rPr>
              <w:t xml:space="preserve">CFR declined universally from 2020 to 2022 as treatment improved and vaccines rolled out.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97B"/>
                <w:sz w:val="18"/>
                <w:szCs w:val="18"/>
              </w:rPr>
              <w:t xml:space="preserve">Q5</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C2833"/>
                <w:sz w:val="18"/>
                <w:szCs w:val="18"/>
              </w:rPr>
              <w:t xml:space="preserve">How did vaccination rollouts progress across countries?</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A4A4A"/>
                <w:sz w:val="18"/>
                <w:szCs w:val="18"/>
              </w:rPr>
              <w:t xml:space="preserve">UK and US led early; India and South Africa lagged due to supply and logistics constraints.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97B"/>
                <w:sz w:val="18"/>
                <w:szCs w:val="18"/>
              </w:rPr>
              <w:t xml:space="preserve">Q6</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C2833"/>
                <w:sz w:val="18"/>
                <w:szCs w:val="18"/>
              </w:rPr>
              <w:t xml:space="preserve">Which continent had highest cases per million?</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A4A4A"/>
                <w:sz w:val="18"/>
                <w:szCs w:val="18"/>
              </w:rPr>
              <w:t xml:space="preserve">Europe (UK, Germany) topped cases per million during Omicron; Africa reported lowest.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97B"/>
                <w:sz w:val="18"/>
                <w:szCs w:val="18"/>
              </w:rPr>
              <w:t xml:space="preserve">Q7</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C2833"/>
                <w:sz w:val="18"/>
                <w:szCs w:val="18"/>
              </w:rPr>
              <w:t xml:space="preserve">Is there a correlation between vaccination rate and new cases?</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A4A4A"/>
                <w:sz w:val="18"/>
                <w:szCs w:val="18"/>
              </w:rPr>
              <w:t xml:space="preserve">Positive correlation — vaccines preceded more contagious variants and relaxed restrictions.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97B"/>
                <w:sz w:val="18"/>
                <w:szCs w:val="18"/>
              </w:rPr>
              <w:t xml:space="preserve">Q8</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C2833"/>
                <w:sz w:val="18"/>
                <w:szCs w:val="18"/>
              </w:rPr>
              <w:t xml:space="preserve">How did monthly death tolls vary in 2020 and 2021?</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A4A4A"/>
                <w:sz w:val="18"/>
                <w:szCs w:val="18"/>
              </w:rPr>
              <w:t xml:space="preserve">Clear wave patterns; US and UK peaked in Jan 2021; India peaked in May 2021 (Delta).</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97B"/>
                <w:sz w:val="18"/>
                <w:szCs w:val="18"/>
              </w:rPr>
              <w:t xml:space="preserve">Q9</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C2833"/>
                <w:sz w:val="18"/>
                <w:szCs w:val="18"/>
              </w:rPr>
              <w:t xml:space="preserve">Total vaccination count by country by end of study?</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A4A4A"/>
                <w:sz w:val="18"/>
                <w:szCs w:val="18"/>
              </w:rPr>
              <w:t xml:space="preserve">India highest in absolute doses; UK highest in per-capita coverage.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97B"/>
                <w:sz w:val="18"/>
                <w:szCs w:val="18"/>
              </w:rPr>
              <w:t xml:space="preserve">Q10</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C2833"/>
                <w:sz w:val="18"/>
                <w:szCs w:val="18"/>
              </w:rPr>
              <w:t xml:space="preserve">Does GDP per capita correlate with vaccination rate?</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A4A4A"/>
                <w:sz w:val="18"/>
                <w:szCs w:val="18"/>
              </w:rPr>
              <w:t xml:space="preserve">Strong positive relationship — wealthier nations vaccinated faster.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97B"/>
                <w:sz w:val="18"/>
                <w:szCs w:val="18"/>
              </w:rPr>
              <w:t xml:space="preserve">Q11</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C2833"/>
                <w:sz w:val="18"/>
                <w:szCs w:val="18"/>
              </w:rPr>
              <w:t xml:space="preserve">Which year had highest average new cases globally?</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A4A4A"/>
                <w:sz w:val="18"/>
                <w:szCs w:val="18"/>
              </w:rPr>
              <w:t xml:space="preserve">2022 had highest average new cases per record, driven by Omicron.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97B"/>
                <w:sz w:val="18"/>
                <w:szCs w:val="18"/>
              </w:rPr>
              <w:t xml:space="preserve">Q12</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C2833"/>
                <w:sz w:val="18"/>
                <w:szCs w:val="18"/>
              </w:rPr>
              <w:t xml:space="preserve">Relationship between cases per million and deaths per million?</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A4A4A"/>
                <w:sz w:val="18"/>
                <w:szCs w:val="18"/>
              </w:rPr>
              <w:t xml:space="preserve">Strong positive correlation; Brazil and South Africa showed higher deaths per case.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97B"/>
                <w:sz w:val="18"/>
                <w:szCs w:val="18"/>
              </w:rPr>
              <w:t xml:space="preserve">Q13</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C2833"/>
                <w:sz w:val="18"/>
                <w:szCs w:val="18"/>
              </w:rPr>
              <w:t xml:space="preserve">Did R-value change significantly after vaccination began?</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A4A4A"/>
                <w:sz w:val="18"/>
                <w:szCs w:val="18"/>
              </w:rPr>
              <w:t xml:space="preserve">Median R slightly lower post-vaccine; variance narrowed; Omicron prevented full control.</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97B"/>
                <w:sz w:val="18"/>
                <w:szCs w:val="18"/>
              </w:rPr>
              <w:t xml:space="preserve">Q14</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C2833"/>
                <w:sz w:val="18"/>
                <w:szCs w:val="18"/>
              </w:rPr>
              <w:t xml:space="preserve">Distribution of new daily deaths across all countries combined?</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A4A4A"/>
                <w:sz w:val="18"/>
                <w:szCs w:val="18"/>
              </w:rPr>
              <w:t xml:space="preserve">Heavily right-skewed; non-normal; log transformation required for modelling.</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97B"/>
                <w:sz w:val="18"/>
                <w:szCs w:val="18"/>
              </w:rPr>
              <w:t xml:space="preserve">Q15</w:t>
            </w:r>
          </w:p>
        </w:tc>
        <w:tc>
          <w:tcPr>
            <w:tcW w:type="dxa" w:w="4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C2833"/>
                <w:sz w:val="18"/>
                <w:szCs w:val="18"/>
              </w:rPr>
              <w:t xml:space="preserve">How do outcomes differ between Global North and Global South?</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A4A4A"/>
                <w:sz w:val="18"/>
                <w:szCs w:val="18"/>
              </w:rPr>
              <w:t xml:space="preserve">Global North achieved higher vaccination rates; Global South had higher CFRs.</w:t>
            </w:r>
          </w:p>
        </w:tc>
      </w:tr>
    </w:tbl>
    <w:p>
      <w:pPr>
        <w:spacing w:after="200"/>
      </w:pPr>
      <w:r>
        <w:t xml:space="preserve"/>
      </w:r>
    </w:p>
    <w:p>
      <w:r>
        <w:br w:type="page"/>
      </w:r>
    </w:p>
    <w:p>
      <w:pPr>
        <w:pStyle w:val="Heading1"/>
        <w:pBdr>
          <w:bottom w:val="single" w:color="00897B" w:sz="4" w:space="6"/>
        </w:pBdr>
        <w:spacing w:before="400" w:after="140"/>
      </w:pPr>
      <w:r>
        <w:rPr>
          <w:rFonts w:ascii="Arial" w:cs="Arial" w:eastAsia="Arial" w:hAnsi="Arial"/>
          <w:b/>
          <w:bCs/>
          <w:color w:val="00897B"/>
          <w:sz w:val="30"/>
          <w:szCs w:val="30"/>
        </w:rPr>
        <w:t xml:space="preserve">5. Statistical Tests</w:t>
      </w:r>
    </w:p>
    <w:p>
      <w:pPr>
        <w:spacing w:after="130"/>
      </w:pPr>
      <w:r>
        <w:rPr>
          <w:rFonts w:ascii="Arial" w:cs="Arial" w:eastAsia="Arial" w:hAnsi="Arial"/>
          <w:color w:val="4A4A4A"/>
          <w:sz w:val="22"/>
          <w:szCs w:val="22"/>
        </w:rPr>
        <w:t xml:space="preserve">Five distinct statistical tests were applied to address specific research questions. Each test was selected based on the nature of the data (parametric vs. non-parametric), the research question structure, and the assumptions verified during the analysis.</w:t>
      </w:r>
    </w:p>
    <w:p>
      <w:pPr>
        <w:spacing w:after="100"/>
      </w:pPr>
      <w:r>
        <w:t xml:space="preserve"/>
      </w:r>
    </w:p>
    <w:p>
      <w:pPr>
        <w:pStyle w:val="Heading2"/>
        <w:spacing w:before="260" w:after="100"/>
      </w:pPr>
      <w:r>
        <w:rPr>
          <w:rFonts w:ascii="Arial" w:cs="Arial" w:eastAsia="Arial" w:hAnsi="Arial"/>
          <w:b/>
          <w:bCs/>
          <w:color w:val="1C2833"/>
          <w:sz w:val="24"/>
          <w:szCs w:val="24"/>
        </w:rPr>
        <w:t xml:space="preserve">Test 1 — Shapiro-Wilk Test: Normality of New Deaths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897B" w:val="clear"/>
            <w:tcMar>
              <w:top w:type="dxa" w:w="70"/>
              <w:left w:type="dxa" w:w="130"/>
              <w:bottom w:type="dxa" w:w="70"/>
              <w:right w:type="dxa" w:w="130"/>
            </w:tcMar>
          </w:tcPr>
          <w:p>
            <w:r>
              <w:rPr>
                <w:rFonts w:ascii="Arial" w:cs="Arial" w:eastAsia="Arial" w:hAnsi="Arial"/>
                <w:b/>
                <w:bCs/>
                <w:color w:val="FFFFFF"/>
                <w:sz w:val="19"/>
                <w:szCs w:val="19"/>
              </w:rPr>
              <w:t xml:space="preserve">Property</w:t>
            </w:r>
          </w:p>
        </w:tc>
        <w:tc>
          <w:tcPr>
            <w:tcW w:type="dxa" w:w="4680"/>
            <w:tcBorders>
              <w:top w:val="single" w:color="CCCCCC" w:sz="1"/>
              <w:left w:val="single" w:color="CCCCCC" w:sz="1"/>
              <w:bottom w:val="single" w:color="CCCCCC" w:sz="1"/>
              <w:right w:val="single" w:color="CCCCCC" w:sz="1"/>
            </w:tcBorders>
            <w:shd w:fill="00897B" w:val="clear"/>
            <w:tcMar>
              <w:top w:type="dxa" w:w="70"/>
              <w:left w:type="dxa" w:w="130"/>
              <w:bottom w:type="dxa" w:w="70"/>
              <w:right w:type="dxa" w:w="130"/>
            </w:tcMar>
          </w:tcPr>
          <w:p>
            <w:r>
              <w:rPr>
                <w:rFonts w:ascii="Arial" w:cs="Arial" w:eastAsia="Arial" w:hAnsi="Arial"/>
                <w:b/>
                <w:bCs/>
                <w:color w:val="FFFFFF"/>
                <w:sz w:val="19"/>
                <w:szCs w:val="19"/>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4A4A4A"/>
                <w:sz w:val="19"/>
                <w:szCs w:val="19"/>
              </w:rPr>
              <w:t xml:space="preserve">Test Type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4A4A4A"/>
                <w:sz w:val="19"/>
                <w:szCs w:val="19"/>
              </w:rPr>
              <w:t xml:space="preserve">Shapiro-Wilk Normality Test</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4A4A4A"/>
                <w:sz w:val="19"/>
                <w:szCs w:val="19"/>
              </w:rPr>
              <w:t xml:space="preserve">Variable Tested</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4A4A4A"/>
                <w:sz w:val="19"/>
                <w:szCs w:val="19"/>
              </w:rPr>
              <w:t xml:space="preserve">new_deaths (across all countries and dates)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4A4A4A"/>
                <w:sz w:val="19"/>
                <w:szCs w:val="19"/>
              </w:rPr>
              <w:t xml:space="preserve">Null Hypothesis (H0)</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4A4A4A"/>
                <w:sz w:val="19"/>
                <w:szCs w:val="19"/>
              </w:rPr>
              <w:t xml:space="preserve">The data follows a normal distribution</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4A4A4A"/>
                <w:sz w:val="19"/>
                <w:szCs w:val="19"/>
              </w:rPr>
              <w:t xml:space="preserve">Alternative (H1)</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4A4A4A"/>
                <w:sz w:val="19"/>
                <w:szCs w:val="19"/>
              </w:rPr>
              <w:t xml:space="preserve">The data does not follow a normal distribution</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4A4A4A"/>
                <w:sz w:val="19"/>
                <w:szCs w:val="19"/>
              </w:rPr>
              <w:t xml:space="preserve">Significance Level</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4A4A4A"/>
                <w:sz w:val="19"/>
                <w:szCs w:val="19"/>
              </w:rPr>
              <w:t xml:space="preserve">alpha = 0.05</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4A4A4A"/>
                <w:sz w:val="19"/>
                <w:szCs w:val="19"/>
              </w:rPr>
              <w:t xml:space="preserve">Result</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4A4A4A"/>
                <w:sz w:val="19"/>
                <w:szCs w:val="19"/>
              </w:rPr>
              <w:t xml:space="preserve">p-value &lt; 0.001 — REJECT H0</w:t>
            </w:r>
          </w:p>
        </w:tc>
      </w:tr>
    </w:tbl>
    <w:p>
      <w:pPr>
        <w:spacing w:after="100"/>
      </w:pPr>
      <w:r>
        <w:t xml:space="preserve"/>
      </w:r>
    </w:p>
    <w:p>
      <w:pPr>
        <w:spacing w:after="130"/>
      </w:pPr>
      <w:r>
        <w:rPr>
          <w:rFonts w:ascii="Arial" w:cs="Arial" w:eastAsia="Arial" w:hAnsi="Arial"/>
          <w:color w:val="4A4A4A"/>
          <w:sz w:val="22"/>
          <w:szCs w:val="22"/>
        </w:rPr>
        <w:t xml:space="preserve">Interpretation: The Shapiro-Wilk test conclusively rejects the assumption of normality for the new_deaths variable. The distribution is heavily right-skewed, with most data points representing low death counts and a small number of extreme peaks representing pandemic wave crests. This finding is foundational for the rest of the analysis: it confirms that parametric tests relying on normality assumptions (such as a standard t-test) should not be used when comparing death counts between groups. Non-parametric alternatives are required.</w:t>
      </w:r>
    </w:p>
    <w:p>
      <w:pPr>
        <w:spacing w:after="100"/>
      </w:pPr>
      <w:r>
        <w:t xml:space="preserve"/>
      </w:r>
    </w:p>
    <w:p>
      <w:pPr>
        <w:pStyle w:val="Heading2"/>
        <w:spacing w:before="260" w:after="100"/>
      </w:pPr>
      <w:r>
        <w:rPr>
          <w:rFonts w:ascii="Arial" w:cs="Arial" w:eastAsia="Arial" w:hAnsi="Arial"/>
          <w:b/>
          <w:bCs/>
          <w:color w:val="1C2833"/>
          <w:sz w:val="24"/>
          <w:szCs w:val="24"/>
        </w:rPr>
        <w:t xml:space="preserve">Test 2 — Mann-Whitney U Test: USA vs. India New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897B" w:val="clear"/>
            <w:tcMar>
              <w:top w:type="dxa" w:w="70"/>
              <w:left w:type="dxa" w:w="130"/>
              <w:bottom w:type="dxa" w:w="70"/>
              <w:right w:type="dxa" w:w="130"/>
            </w:tcMar>
          </w:tcPr>
          <w:p>
            <w:r>
              <w:rPr>
                <w:rFonts w:ascii="Arial" w:cs="Arial" w:eastAsia="Arial" w:hAnsi="Arial"/>
                <w:b/>
                <w:bCs/>
                <w:color w:val="FFFFFF"/>
                <w:sz w:val="19"/>
                <w:szCs w:val="19"/>
              </w:rPr>
              <w:t xml:space="preserve">Property</w:t>
            </w:r>
          </w:p>
        </w:tc>
        <w:tc>
          <w:tcPr>
            <w:tcW w:type="dxa" w:w="4680"/>
            <w:tcBorders>
              <w:top w:val="single" w:color="CCCCCC" w:sz="1"/>
              <w:left w:val="single" w:color="CCCCCC" w:sz="1"/>
              <w:bottom w:val="single" w:color="CCCCCC" w:sz="1"/>
              <w:right w:val="single" w:color="CCCCCC" w:sz="1"/>
            </w:tcBorders>
            <w:shd w:fill="00897B" w:val="clear"/>
            <w:tcMar>
              <w:top w:type="dxa" w:w="70"/>
              <w:left w:type="dxa" w:w="130"/>
              <w:bottom w:type="dxa" w:w="70"/>
              <w:right w:type="dxa" w:w="130"/>
            </w:tcMar>
          </w:tcPr>
          <w:p>
            <w:r>
              <w:rPr>
                <w:rFonts w:ascii="Arial" w:cs="Arial" w:eastAsia="Arial" w:hAnsi="Arial"/>
                <w:b/>
                <w:bCs/>
                <w:color w:val="FFFFFF"/>
                <w:sz w:val="19"/>
                <w:szCs w:val="19"/>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4A4A4A"/>
                <w:sz w:val="19"/>
                <w:szCs w:val="19"/>
              </w:rPr>
              <w:t xml:space="preserve">Test Type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4A4A4A"/>
                <w:sz w:val="19"/>
                <w:szCs w:val="19"/>
              </w:rPr>
              <w:t xml:space="preserve">Mann-Whitney U Test (non-parametric)</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4A4A4A"/>
                <w:sz w:val="19"/>
                <w:szCs w:val="19"/>
              </w:rPr>
              <w:t xml:space="preserve">Groups Compared</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4A4A4A"/>
                <w:sz w:val="19"/>
                <w:szCs w:val="19"/>
              </w:rPr>
              <w:t xml:space="preserve">United States vs. India — monthly new_cases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4A4A4A"/>
                <w:sz w:val="19"/>
                <w:szCs w:val="19"/>
              </w:rPr>
              <w:t xml:space="preserve">Null Hypothesis (H0)</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4A4A4A"/>
                <w:sz w:val="19"/>
                <w:szCs w:val="19"/>
              </w:rPr>
              <w:t xml:space="preserve">No difference in new cases distribution between US and India</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4A4A4A"/>
                <w:sz w:val="19"/>
                <w:szCs w:val="19"/>
              </w:rPr>
              <w:t xml:space="preserve">Alternative (H1)</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4A4A4A"/>
                <w:sz w:val="19"/>
                <w:szCs w:val="19"/>
              </w:rPr>
              <w:t xml:space="preserve">Significant distributional difference exists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4A4A4A"/>
                <w:sz w:val="19"/>
                <w:szCs w:val="19"/>
              </w:rPr>
              <w:t xml:space="preserve">Significance Level</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4A4A4A"/>
                <w:sz w:val="19"/>
                <w:szCs w:val="19"/>
              </w:rPr>
              <w:t xml:space="preserve">alpha = 0.05</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4A4A4A"/>
                <w:sz w:val="19"/>
                <w:szCs w:val="19"/>
              </w:rPr>
              <w:t xml:space="preserve">Result</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4A4A4A"/>
                <w:sz w:val="19"/>
                <w:szCs w:val="19"/>
              </w:rPr>
              <w:t xml:space="preserve">Test statistic evaluated; p-value determines decision</w:t>
            </w:r>
          </w:p>
        </w:tc>
      </w:tr>
    </w:tbl>
    <w:p>
      <w:pPr>
        <w:spacing w:after="100"/>
      </w:pPr>
      <w:r>
        <w:t xml:space="preserve"/>
      </w:r>
    </w:p>
    <w:p>
      <w:pPr>
        <w:spacing w:after="130"/>
      </w:pPr>
      <w:r>
        <w:rPr>
          <w:rFonts w:ascii="Arial" w:cs="Arial" w:eastAsia="Arial" w:hAnsi="Arial"/>
          <w:color w:val="4A4A4A"/>
          <w:sz w:val="22"/>
          <w:szCs w:val="22"/>
        </w:rPr>
        <w:t xml:space="preserve">Interpretation: The Mann-Whitney U test compares whether the distribution of monthly new cases in the United States and India are drawn from the same underlying population. Since new cases are non-normal (as confirmed by Test 1), this non-parametric test is the appropriate choice. A statistically significant result indicates that the two countries experienced the pandemic at a measurably different scale or timing, reflecting differences in population size, variant exposure sequence, healthcare infrastructure, and government response policies.</w:t>
      </w:r>
    </w:p>
    <w:p>
      <w:pPr>
        <w:spacing w:after="100"/>
      </w:pPr>
      <w:r>
        <w:t xml:space="preserve"/>
      </w:r>
    </w:p>
    <w:p>
      <w:pPr>
        <w:pStyle w:val="Heading2"/>
        <w:spacing w:before="260" w:after="100"/>
      </w:pPr>
      <w:r>
        <w:rPr>
          <w:rFonts w:ascii="Arial" w:cs="Arial" w:eastAsia="Arial" w:hAnsi="Arial"/>
          <w:b/>
          <w:bCs/>
          <w:color w:val="1C2833"/>
          <w:sz w:val="24"/>
          <w:szCs w:val="24"/>
        </w:rPr>
        <w:t xml:space="preserve">Test 3 — Pearson Correlation: Total Cases vs. Total Deaths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897B" w:val="clear"/>
            <w:tcMar>
              <w:top w:type="dxa" w:w="70"/>
              <w:left w:type="dxa" w:w="130"/>
              <w:bottom w:type="dxa" w:w="70"/>
              <w:right w:type="dxa" w:w="130"/>
            </w:tcMar>
          </w:tcPr>
          <w:p>
            <w:r>
              <w:rPr>
                <w:rFonts w:ascii="Arial" w:cs="Arial" w:eastAsia="Arial" w:hAnsi="Arial"/>
                <w:b/>
                <w:bCs/>
                <w:color w:val="FFFFFF"/>
                <w:sz w:val="19"/>
                <w:szCs w:val="19"/>
              </w:rPr>
              <w:t xml:space="preserve">Property</w:t>
            </w:r>
          </w:p>
        </w:tc>
        <w:tc>
          <w:tcPr>
            <w:tcW w:type="dxa" w:w="4680"/>
            <w:tcBorders>
              <w:top w:val="single" w:color="CCCCCC" w:sz="1"/>
              <w:left w:val="single" w:color="CCCCCC" w:sz="1"/>
              <w:bottom w:val="single" w:color="CCCCCC" w:sz="1"/>
              <w:right w:val="single" w:color="CCCCCC" w:sz="1"/>
            </w:tcBorders>
            <w:shd w:fill="00897B" w:val="clear"/>
            <w:tcMar>
              <w:top w:type="dxa" w:w="70"/>
              <w:left w:type="dxa" w:w="130"/>
              <w:bottom w:type="dxa" w:w="70"/>
              <w:right w:type="dxa" w:w="130"/>
            </w:tcMar>
          </w:tcPr>
          <w:p>
            <w:r>
              <w:rPr>
                <w:rFonts w:ascii="Arial" w:cs="Arial" w:eastAsia="Arial" w:hAnsi="Arial"/>
                <w:b/>
                <w:bCs/>
                <w:color w:val="FFFFFF"/>
                <w:sz w:val="19"/>
                <w:szCs w:val="19"/>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4A4A4A"/>
                <w:sz w:val="19"/>
                <w:szCs w:val="19"/>
              </w:rPr>
              <w:t xml:space="preserve">Test Type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4A4A4A"/>
                <w:sz w:val="19"/>
                <w:szCs w:val="19"/>
              </w:rPr>
              <w:t xml:space="preserve">Pearson Correlation Coefficient</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4A4A4A"/>
                <w:sz w:val="19"/>
                <w:szCs w:val="19"/>
              </w:rPr>
              <w:t xml:space="preserve">Variables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4A4A4A"/>
                <w:sz w:val="19"/>
                <w:szCs w:val="19"/>
              </w:rPr>
              <w:t xml:space="preserve">total_cases vs. total_deaths (all countries, all dates)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4A4A4A"/>
                <w:sz w:val="19"/>
                <w:szCs w:val="19"/>
              </w:rPr>
              <w:t xml:space="preserve">Null Hypothesis (H0)</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4A4A4A"/>
                <w:sz w:val="19"/>
                <w:szCs w:val="19"/>
              </w:rPr>
              <w:t xml:space="preserve">No linear correlation between total cases and total deaths (r = 0)</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4A4A4A"/>
                <w:sz w:val="19"/>
                <w:szCs w:val="19"/>
              </w:rPr>
              <w:t xml:space="preserve">Alternative (H1)</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4A4A4A"/>
                <w:sz w:val="19"/>
                <w:szCs w:val="19"/>
              </w:rPr>
              <w:t xml:space="preserve">A statistically significant linear correlation exists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4A4A4A"/>
                <w:sz w:val="19"/>
                <w:szCs w:val="19"/>
              </w:rPr>
              <w:t xml:space="preserve">Result</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4A4A4A"/>
                <w:sz w:val="19"/>
                <w:szCs w:val="19"/>
              </w:rPr>
              <w:t xml:space="preserve">r close to 1.0, p &lt; 0.001 — REJECT H0</w:t>
            </w:r>
          </w:p>
        </w:tc>
      </w:tr>
    </w:tbl>
    <w:p>
      <w:pPr>
        <w:spacing w:after="100"/>
      </w:pPr>
      <w:r>
        <w:t xml:space="preserve"/>
      </w:r>
    </w:p>
    <w:p>
      <w:pPr>
        <w:spacing w:after="130"/>
      </w:pPr>
      <w:r>
        <w:rPr>
          <w:rFonts w:ascii="Arial" w:cs="Arial" w:eastAsia="Arial" w:hAnsi="Arial"/>
          <w:color w:val="4A4A4A"/>
          <w:sz w:val="22"/>
          <w:szCs w:val="22"/>
        </w:rPr>
        <w:t xml:space="preserve">Interpretation: The Pearson correlation test reveals a very strong and statistically significant positive linear relationship between total cases and total deaths across the dataset. This result validates data integrity — the variables behave in a clinically consistent manner. It also quantifies the expectation that as case counts rise, so do deaths. The near-perfect correlation on log scale confirms that the relationship is consistent across both small early outbreaks and large pandemic peaks. Importantly, deviations from this linear trend at the country level can reveal where factors like healthcare capacity or vaccination have moderated the death burden relative to cases.</w:t>
      </w:r>
    </w:p>
    <w:p>
      <w:pPr>
        <w:spacing w:after="100"/>
      </w:pPr>
      <w:r>
        <w:t xml:space="preserve"/>
      </w:r>
    </w:p>
    <w:p>
      <w:pPr>
        <w:pStyle w:val="Heading2"/>
        <w:spacing w:before="260" w:after="100"/>
      </w:pPr>
      <w:r>
        <w:rPr>
          <w:rFonts w:ascii="Arial" w:cs="Arial" w:eastAsia="Arial" w:hAnsi="Arial"/>
          <w:b/>
          <w:bCs/>
          <w:color w:val="1C2833"/>
          <w:sz w:val="24"/>
          <w:szCs w:val="24"/>
        </w:rPr>
        <w:t xml:space="preserve">Test 4 — Welch t-Test: European vs. Non-European Case Fatality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897B" w:val="clear"/>
            <w:tcMar>
              <w:top w:type="dxa" w:w="70"/>
              <w:left w:type="dxa" w:w="130"/>
              <w:bottom w:type="dxa" w:w="70"/>
              <w:right w:type="dxa" w:w="130"/>
            </w:tcMar>
          </w:tcPr>
          <w:p>
            <w:r>
              <w:rPr>
                <w:rFonts w:ascii="Arial" w:cs="Arial" w:eastAsia="Arial" w:hAnsi="Arial"/>
                <w:b/>
                <w:bCs/>
                <w:color w:val="FFFFFF"/>
                <w:sz w:val="19"/>
                <w:szCs w:val="19"/>
              </w:rPr>
              <w:t xml:space="preserve">Property</w:t>
            </w:r>
          </w:p>
        </w:tc>
        <w:tc>
          <w:tcPr>
            <w:tcW w:type="dxa" w:w="4680"/>
            <w:tcBorders>
              <w:top w:val="single" w:color="CCCCCC" w:sz="1"/>
              <w:left w:val="single" w:color="CCCCCC" w:sz="1"/>
              <w:bottom w:val="single" w:color="CCCCCC" w:sz="1"/>
              <w:right w:val="single" w:color="CCCCCC" w:sz="1"/>
            </w:tcBorders>
            <w:shd w:fill="00897B" w:val="clear"/>
            <w:tcMar>
              <w:top w:type="dxa" w:w="70"/>
              <w:left w:type="dxa" w:w="130"/>
              <w:bottom w:type="dxa" w:w="70"/>
              <w:right w:type="dxa" w:w="130"/>
            </w:tcMar>
          </w:tcPr>
          <w:p>
            <w:r>
              <w:rPr>
                <w:rFonts w:ascii="Arial" w:cs="Arial" w:eastAsia="Arial" w:hAnsi="Arial"/>
                <w:b/>
                <w:bCs/>
                <w:color w:val="FFFFFF"/>
                <w:sz w:val="19"/>
                <w:szCs w:val="19"/>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4A4A4A"/>
                <w:sz w:val="19"/>
                <w:szCs w:val="19"/>
              </w:rPr>
              <w:t xml:space="preserve">Test Type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4A4A4A"/>
                <w:sz w:val="19"/>
                <w:szCs w:val="19"/>
              </w:rPr>
              <w:t xml:space="preserve">Welch Independent Samples t-Test</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4A4A4A"/>
                <w:sz w:val="19"/>
                <w:szCs w:val="19"/>
              </w:rPr>
              <w:t xml:space="preserve">Groups Compared</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4A4A4A"/>
                <w:sz w:val="19"/>
                <w:szCs w:val="19"/>
              </w:rPr>
              <w:t xml:space="preserve">Europe (UK, Germany) vs. Non-Europe (all others)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4A4A4A"/>
                <w:sz w:val="19"/>
                <w:szCs w:val="19"/>
              </w:rPr>
              <w:t xml:space="preserve">Variable Tested</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4A4A4A"/>
                <w:sz w:val="19"/>
                <w:szCs w:val="19"/>
              </w:rPr>
              <w:t xml:space="preserve">case_fatality_rate (derived column)</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4A4A4A"/>
                <w:sz w:val="19"/>
                <w:szCs w:val="19"/>
              </w:rPr>
              <w:t xml:space="preserve">Null Hypothesis (H0)</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4A4A4A"/>
                <w:sz w:val="19"/>
                <w:szCs w:val="19"/>
              </w:rPr>
              <w:t xml:space="preserve">No difference in mean CFR between European and non-European countries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4A4A4A"/>
                <w:sz w:val="19"/>
                <w:szCs w:val="19"/>
              </w:rPr>
              <w:t xml:space="preserve">Alternative (H1)</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4A4A4A"/>
                <w:sz w:val="19"/>
                <w:szCs w:val="19"/>
              </w:rPr>
              <w:t xml:space="preserve">A statistically significant difference in mean CFR exists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4A4A4A"/>
                <w:sz w:val="19"/>
                <w:szCs w:val="19"/>
              </w:rPr>
              <w:t xml:space="preserve">Significance Level</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4A4A4A"/>
                <w:sz w:val="19"/>
                <w:szCs w:val="19"/>
              </w:rPr>
              <w:t xml:space="preserve">alpha = 0.05</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4A4A4A"/>
                <w:sz w:val="19"/>
                <w:szCs w:val="19"/>
              </w:rPr>
              <w:t xml:space="preserve">Test Variant</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4A4A4A"/>
                <w:sz w:val="19"/>
                <w:szCs w:val="19"/>
              </w:rPr>
              <w:t xml:space="preserve">Welch (does not assume equal variances)</w:t>
            </w:r>
          </w:p>
        </w:tc>
      </w:tr>
    </w:tbl>
    <w:p>
      <w:pPr>
        <w:spacing w:after="100"/>
      </w:pPr>
      <w:r>
        <w:t xml:space="preserve"/>
      </w:r>
    </w:p>
    <w:p>
      <w:pPr>
        <w:spacing w:after="130"/>
      </w:pPr>
      <w:r>
        <w:rPr>
          <w:rFonts w:ascii="Arial" w:cs="Arial" w:eastAsia="Arial" w:hAnsi="Arial"/>
          <w:color w:val="4A4A4A"/>
          <w:sz w:val="22"/>
          <w:szCs w:val="22"/>
        </w:rPr>
        <w:t xml:space="preserve">Interpretation: Welch's t-test is used here because the CFR distributions between Europe and non-Europe may have unequal variances, making the standard Student's t-test inappropriate. The test evaluates whether being in Europe is associated with a statistically different case fatality rate. A significant result could be explained by Europe's older population profile (higher median age increases COVID-19 severity), earlier pandemic exposure before treatments improved, or higher testing rates. A non-significant result would suggest that CFR differences across continents are within expected random variation given the small sample of countries.</w:t>
      </w:r>
    </w:p>
    <w:p>
      <w:pPr>
        <w:spacing w:after="100"/>
      </w:pPr>
      <w:r>
        <w:t xml:space="preserve"/>
      </w:r>
    </w:p>
    <w:p>
      <w:pPr>
        <w:pStyle w:val="Heading2"/>
        <w:spacing w:before="260" w:after="100"/>
      </w:pPr>
      <w:r>
        <w:rPr>
          <w:rFonts w:ascii="Arial" w:cs="Arial" w:eastAsia="Arial" w:hAnsi="Arial"/>
          <w:b/>
          <w:bCs/>
          <w:color w:val="1C2833"/>
          <w:sz w:val="24"/>
          <w:szCs w:val="24"/>
        </w:rPr>
        <w:t xml:space="preserve">Test 5 — Spearman Rank Correlation: Life Expectancy vs. Deaths per Million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897B" w:val="clear"/>
            <w:tcMar>
              <w:top w:type="dxa" w:w="70"/>
              <w:left w:type="dxa" w:w="130"/>
              <w:bottom w:type="dxa" w:w="70"/>
              <w:right w:type="dxa" w:w="130"/>
            </w:tcMar>
          </w:tcPr>
          <w:p>
            <w:r>
              <w:rPr>
                <w:rFonts w:ascii="Arial" w:cs="Arial" w:eastAsia="Arial" w:hAnsi="Arial"/>
                <w:b/>
                <w:bCs/>
                <w:color w:val="FFFFFF"/>
                <w:sz w:val="19"/>
                <w:szCs w:val="19"/>
              </w:rPr>
              <w:t xml:space="preserve">Property</w:t>
            </w:r>
          </w:p>
        </w:tc>
        <w:tc>
          <w:tcPr>
            <w:tcW w:type="dxa" w:w="4680"/>
            <w:tcBorders>
              <w:top w:val="single" w:color="CCCCCC" w:sz="1"/>
              <w:left w:val="single" w:color="CCCCCC" w:sz="1"/>
              <w:bottom w:val="single" w:color="CCCCCC" w:sz="1"/>
              <w:right w:val="single" w:color="CCCCCC" w:sz="1"/>
            </w:tcBorders>
            <w:shd w:fill="00897B" w:val="clear"/>
            <w:tcMar>
              <w:top w:type="dxa" w:w="70"/>
              <w:left w:type="dxa" w:w="130"/>
              <w:bottom w:type="dxa" w:w="70"/>
              <w:right w:type="dxa" w:w="130"/>
            </w:tcMar>
          </w:tcPr>
          <w:p>
            <w:r>
              <w:rPr>
                <w:rFonts w:ascii="Arial" w:cs="Arial" w:eastAsia="Arial" w:hAnsi="Arial"/>
                <w:b/>
                <w:bCs/>
                <w:color w:val="FFFFFF"/>
                <w:sz w:val="19"/>
                <w:szCs w:val="19"/>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4A4A4A"/>
                <w:sz w:val="19"/>
                <w:szCs w:val="19"/>
              </w:rPr>
              <w:t xml:space="preserve">Test Type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4A4A4A"/>
                <w:sz w:val="19"/>
                <w:szCs w:val="19"/>
              </w:rPr>
              <w:t xml:space="preserve">Spearman Rank Correlation Coefficient</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4A4A4A"/>
                <w:sz w:val="19"/>
                <w:szCs w:val="19"/>
              </w:rPr>
              <w:t xml:space="preserve">Variables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4A4A4A"/>
                <w:sz w:val="19"/>
                <w:szCs w:val="19"/>
              </w:rPr>
              <w:t xml:space="preserve">life_expectancy vs. total_deaths_per_million (country level)</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4A4A4A"/>
                <w:sz w:val="19"/>
                <w:szCs w:val="19"/>
              </w:rPr>
              <w:t xml:space="preserve">Null Hypothesis (H0)</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4A4A4A"/>
                <w:sz w:val="19"/>
                <w:szCs w:val="19"/>
              </w:rPr>
              <w:t xml:space="preserve">No monotonic correlation between life expectancy and deaths per million</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4A4A4A"/>
                <w:sz w:val="19"/>
                <w:szCs w:val="19"/>
              </w:rPr>
              <w:t xml:space="preserve">Alternative (H1)</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4A4A4A"/>
                <w:sz w:val="19"/>
                <w:szCs w:val="19"/>
              </w:rPr>
              <w:t xml:space="preserve">A statistically significant monotonic correlation exists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4A4A4A"/>
                <w:sz w:val="19"/>
                <w:szCs w:val="19"/>
              </w:rPr>
              <w:t xml:space="preserve">Rationale for Spearman</w:t>
            </w:r>
          </w:p>
        </w:tc>
        <w:tc>
          <w:tcPr>
            <w:tcW w:type="dxa" w:w="4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4A4A4A"/>
                <w:sz w:val="19"/>
                <w:szCs w:val="19"/>
              </w:rPr>
              <w:t xml:space="preserve">Small country-level sample; non-normal data; monotonic (not linear) relationship expected</w:t>
            </w:r>
          </w:p>
        </w:tc>
      </w:tr>
    </w:tbl>
    <w:p>
      <w:pPr>
        <w:spacing w:after="100"/>
      </w:pPr>
      <w:r>
        <w:t xml:space="preserve"/>
      </w:r>
    </w:p>
    <w:p>
      <w:pPr>
        <w:spacing w:after="130"/>
      </w:pPr>
      <w:r>
        <w:rPr>
          <w:rFonts w:ascii="Arial" w:cs="Arial" w:eastAsia="Arial" w:hAnsi="Arial"/>
          <w:color w:val="4A4A4A"/>
          <w:sz w:val="22"/>
          <w:szCs w:val="22"/>
        </w:rPr>
        <w:t xml:space="preserve">Interpretation: Spearman rank correlation is selected over Pearson here because the country-level sample is small (seven countries) and the relationship may be monotonic rather than strictly linear. The test examines whether countries with higher life expectancy — indicating older populations — suffered disproportionately higher deaths per million. A positive significant correlation would align with the established clinical evidence that COVID-19 mortality increases sharply with age. This finding would have important implications for resource allocation in future pandemic preparedness plans.</w:t>
      </w:r>
    </w:p>
    <w:p>
      <w:pPr>
        <w:spacing w:after="100"/>
      </w:pPr>
      <w:r>
        <w:t xml:space="preserve"/>
      </w:r>
    </w:p>
    <w:p>
      <w:r>
        <w:br w:type="page"/>
      </w:r>
    </w:p>
    <w:p>
      <w:pPr>
        <w:pStyle w:val="Heading1"/>
        <w:pBdr>
          <w:bottom w:val="single" w:color="00897B" w:sz="4" w:space="6"/>
        </w:pBdr>
        <w:spacing w:before="400" w:after="140"/>
      </w:pPr>
      <w:r>
        <w:rPr>
          <w:rFonts w:ascii="Arial" w:cs="Arial" w:eastAsia="Arial" w:hAnsi="Arial"/>
          <w:b/>
          <w:bCs/>
          <w:color w:val="00897B"/>
          <w:sz w:val="30"/>
          <w:szCs w:val="30"/>
        </w:rPr>
        <w:t xml:space="preserve">6. Country-Level Summary Metrics</w:t>
      </w:r>
    </w:p>
    <w:p>
      <w:pPr>
        <w:spacing w:after="130"/>
      </w:pPr>
      <w:r>
        <w:rPr>
          <w:rFonts w:ascii="Arial" w:cs="Arial" w:eastAsia="Arial" w:hAnsi="Arial"/>
          <w:color w:val="4A4A4A"/>
          <w:sz w:val="22"/>
          <w:szCs w:val="22"/>
        </w:rPr>
        <w:t xml:space="preserve">The table below summarises the key outcome metrics for each country at the end of the study period (March 2022).</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0897B" w:val="clear"/>
            <w:tcMar>
              <w:top w:type="dxa" w:w="60"/>
              <w:left w:type="dxa" w:w="120"/>
              <w:bottom w:type="dxa" w:w="60"/>
              <w:right w:type="dxa" w:w="120"/>
            </w:tcMar>
          </w:tcPr>
          <w:p>
            <w:r>
              <w:rPr>
                <w:rFonts w:ascii="Arial" w:cs="Arial" w:eastAsia="Arial" w:hAnsi="Arial"/>
                <w:b/>
                <w:bCs/>
                <w:color w:val="FFFFFF"/>
                <w:sz w:val="19"/>
                <w:szCs w:val="19"/>
              </w:rPr>
              <w:t xml:space="preserve">Country</w:t>
            </w:r>
          </w:p>
        </w:tc>
        <w:tc>
          <w:tcPr>
            <w:tcW w:type="dxa" w:w="2340"/>
            <w:tcBorders>
              <w:top w:val="single" w:color="CCCCCC" w:sz="1"/>
              <w:left w:val="single" w:color="CCCCCC" w:sz="1"/>
              <w:bottom w:val="single" w:color="CCCCCC" w:sz="1"/>
              <w:right w:val="single" w:color="CCCCCC" w:sz="1"/>
            </w:tcBorders>
            <w:shd w:fill="00897B" w:val="clear"/>
            <w:tcMar>
              <w:top w:type="dxa" w:w="60"/>
              <w:left w:type="dxa" w:w="120"/>
              <w:bottom w:type="dxa" w:w="60"/>
              <w:right w:type="dxa" w:w="120"/>
            </w:tcMar>
          </w:tcPr>
          <w:p>
            <w:r>
              <w:rPr>
                <w:rFonts w:ascii="Arial" w:cs="Arial" w:eastAsia="Arial" w:hAnsi="Arial"/>
                <w:b/>
                <w:bCs/>
                <w:color w:val="FFFFFF"/>
                <w:sz w:val="19"/>
                <w:szCs w:val="19"/>
              </w:rPr>
              <w:t xml:space="preserve">Total Cases (M)</w:t>
            </w:r>
          </w:p>
        </w:tc>
        <w:tc>
          <w:tcPr>
            <w:tcW w:type="dxa" w:w="2340"/>
            <w:tcBorders>
              <w:top w:val="single" w:color="CCCCCC" w:sz="1"/>
              <w:left w:val="single" w:color="CCCCCC" w:sz="1"/>
              <w:bottom w:val="single" w:color="CCCCCC" w:sz="1"/>
              <w:right w:val="single" w:color="CCCCCC" w:sz="1"/>
            </w:tcBorders>
            <w:shd w:fill="00897B" w:val="clear"/>
            <w:tcMar>
              <w:top w:type="dxa" w:w="60"/>
              <w:left w:type="dxa" w:w="120"/>
              <w:bottom w:type="dxa" w:w="60"/>
              <w:right w:type="dxa" w:w="120"/>
            </w:tcMar>
          </w:tcPr>
          <w:p>
            <w:r>
              <w:rPr>
                <w:rFonts w:ascii="Arial" w:cs="Arial" w:eastAsia="Arial" w:hAnsi="Arial"/>
                <w:b/>
                <w:bCs/>
                <w:color w:val="FFFFFF"/>
                <w:sz w:val="19"/>
                <w:szCs w:val="19"/>
              </w:rPr>
              <w:t xml:space="preserve">CFR (%)</w:t>
            </w:r>
          </w:p>
        </w:tc>
        <w:tc>
          <w:tcPr>
            <w:tcW w:type="dxa" w:w="2340"/>
            <w:tcBorders>
              <w:top w:val="single" w:color="CCCCCC" w:sz="1"/>
              <w:left w:val="single" w:color="CCCCCC" w:sz="1"/>
              <w:bottom w:val="single" w:color="CCCCCC" w:sz="1"/>
              <w:right w:val="single" w:color="CCCCCC" w:sz="1"/>
            </w:tcBorders>
            <w:shd w:fill="00897B" w:val="clear"/>
            <w:tcMar>
              <w:top w:type="dxa" w:w="60"/>
              <w:left w:type="dxa" w:w="120"/>
              <w:bottom w:type="dxa" w:w="60"/>
              <w:right w:type="dxa" w:w="120"/>
            </w:tcMar>
          </w:tcPr>
          <w:p>
            <w:r>
              <w:rPr>
                <w:rFonts w:ascii="Arial" w:cs="Arial" w:eastAsia="Arial" w:hAnsi="Arial"/>
                <w:b/>
                <w:bCs/>
                <w:color w:val="FFFFFF"/>
                <w:sz w:val="19"/>
                <w:szCs w:val="19"/>
              </w:rPr>
              <w:t xml:space="preserve">Vax Rate (%)</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9"/>
                <w:szCs w:val="19"/>
              </w:rPr>
              <w:t xml:space="preserve">United States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9"/>
                <w:szCs w:val="19"/>
              </w:rPr>
              <w:t xml:space="preserve">80.2</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9"/>
                <w:szCs w:val="19"/>
              </w:rPr>
              <w:t xml:space="preserve">1.22</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9"/>
                <w:szCs w:val="19"/>
              </w:rPr>
              <w:t xml:space="preserve">77.5</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9"/>
                <w:szCs w:val="19"/>
              </w:rPr>
              <w:t xml:space="preserve">India</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9"/>
                <w:szCs w:val="19"/>
              </w:rPr>
              <w:t xml:space="preserve">43.0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9"/>
                <w:szCs w:val="19"/>
              </w:rPr>
              <w:t xml:space="preserve">1.20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9"/>
                <w:szCs w:val="19"/>
              </w:rPr>
              <w:t xml:space="preserve">72.5</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9"/>
                <w:szCs w:val="19"/>
              </w:rPr>
              <w:t xml:space="preserve">Brazil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9"/>
                <w:szCs w:val="19"/>
              </w:rPr>
              <w:t xml:space="preserve">29.4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9"/>
                <w:szCs w:val="19"/>
              </w:rPr>
              <w:t xml:space="preserve">2.23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9"/>
                <w:szCs w:val="19"/>
              </w:rPr>
              <w:t xml:space="preserve">77.7</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9"/>
                <w:szCs w:val="19"/>
              </w:rPr>
              <w:t xml:space="preserve">United Kingdom</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9"/>
                <w:szCs w:val="19"/>
              </w:rPr>
              <w:t xml:space="preserve">20.0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9"/>
                <w:szCs w:val="19"/>
              </w:rPr>
              <w:t xml:space="preserve">0.82</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9"/>
                <w:szCs w:val="19"/>
              </w:rPr>
              <w:t xml:space="preserve">89.6</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9"/>
                <w:szCs w:val="19"/>
              </w:rPr>
              <w:t xml:space="preserve">Germany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9"/>
                <w:szCs w:val="19"/>
              </w:rPr>
              <w:t xml:space="preserve">20.0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9"/>
                <w:szCs w:val="19"/>
              </w:rPr>
              <w:t xml:space="preserve">0.64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9"/>
                <w:szCs w:val="19"/>
              </w:rPr>
              <w:t xml:space="preserve">99.8</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9"/>
                <w:szCs w:val="19"/>
              </w:rPr>
              <w:t xml:space="preserve">South Africa</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9"/>
                <w:szCs w:val="19"/>
              </w:rPr>
              <w:t xml:space="preserve">3.74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9"/>
                <w:szCs w:val="19"/>
              </w:rPr>
              <w:t xml:space="preserve">2.67</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9"/>
                <w:szCs w:val="19"/>
              </w:rPr>
              <w:t xml:space="preserve">30.4</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9"/>
                <w:szCs w:val="19"/>
              </w:rPr>
              <w:t xml:space="preserve">Australia</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9"/>
                <w:szCs w:val="19"/>
              </w:rPr>
              <w:t xml:space="preserve">4.40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9"/>
                <w:szCs w:val="19"/>
              </w:rPr>
              <w:t xml:space="preserve">0.15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9"/>
                <w:szCs w:val="19"/>
              </w:rPr>
              <w:t xml:space="preserve">172.6</w:t>
            </w:r>
          </w:p>
        </w:tc>
      </w:tr>
    </w:tbl>
    <w:p>
      <w:pPr>
        <w:spacing w:after="100"/>
      </w:pPr>
      <w:r>
        <w:t xml:space="preserve"/>
      </w:r>
    </w:p>
    <w:p>
      <w:pPr>
        <w:spacing w:after="130"/>
      </w:pPr>
      <w:r>
        <w:rPr>
          <w:rFonts w:ascii="Arial" w:cs="Arial" w:eastAsia="Arial" w:hAnsi="Arial"/>
          <w:color w:val="4A4A4A"/>
          <w:sz w:val="22"/>
          <w:szCs w:val="22"/>
        </w:rPr>
        <w:t xml:space="preserve">Note: Australia's vaccination rate exceeds 100% due to booster doses being counted separately in total_vaccinations and people_vaccinated denominators differing between official sources. CFR values reflect end-of-study cumulative calculations and are influenced by testing intensity, healthcare capacity, and population demographics.</w:t>
      </w:r>
    </w:p>
    <w:p>
      <w:pPr>
        <w:spacing w:after="100"/>
      </w:pPr>
      <w:r>
        <w:t xml:space="preserve"/>
      </w:r>
    </w:p>
    <w:p>
      <w:pPr>
        <w:pStyle w:val="Heading1"/>
        <w:pBdr>
          <w:bottom w:val="single" w:color="00897B" w:sz="4" w:space="6"/>
        </w:pBdr>
        <w:spacing w:before="400" w:after="140"/>
      </w:pPr>
      <w:r>
        <w:rPr>
          <w:rFonts w:ascii="Arial" w:cs="Arial" w:eastAsia="Arial" w:hAnsi="Arial"/>
          <w:b/>
          <w:bCs/>
          <w:color w:val="00897B"/>
          <w:sz w:val="30"/>
          <w:szCs w:val="30"/>
        </w:rPr>
        <w:t xml:space="preserve">7. Key Insights and Conclusions</w:t>
      </w:r>
    </w:p>
    <w:p>
      <w:pPr>
        <w:pStyle w:val="Heading2"/>
        <w:spacing w:before="260" w:after="100"/>
      </w:pPr>
      <w:r>
        <w:rPr>
          <w:rFonts w:ascii="Arial" w:cs="Arial" w:eastAsia="Arial" w:hAnsi="Arial"/>
          <w:b/>
          <w:bCs/>
          <w:color w:val="1C2833"/>
          <w:sz w:val="24"/>
          <w:szCs w:val="24"/>
        </w:rPr>
        <w:t xml:space="preserve">7.1 Pandemic Wave Structure</w:t>
      </w:r>
    </w:p>
    <w:p>
      <w:pPr>
        <w:spacing w:after="130"/>
      </w:pPr>
      <w:r>
        <w:rPr>
          <w:rFonts w:ascii="Arial" w:cs="Arial" w:eastAsia="Arial" w:hAnsi="Arial"/>
          <w:color w:val="4A4A4A"/>
          <w:sz w:val="22"/>
          <w:szCs w:val="22"/>
        </w:rPr>
        <w:t xml:space="preserve">The COVID-19 pandemic unfolded in distinct waves across all countries, each driven by a new variant. The Alpha variant produced a deadly winter 2020–21 wave in Europe and North America. The Delta variant caused catastrophic mortality in India in April–May 2021. The Omicron variant generated the largest absolute case surges globally in late 2021 and early 2022, but with lower CFRs due to vaccine immunity and intrinsically milder disease. These wave structures are clearly visible in all time-series visualisations.</w:t>
      </w:r>
    </w:p>
    <w:p>
      <w:pPr>
        <w:pStyle w:val="Heading2"/>
        <w:spacing w:before="260" w:after="100"/>
      </w:pPr>
      <w:r>
        <w:rPr>
          <w:rFonts w:ascii="Arial" w:cs="Arial" w:eastAsia="Arial" w:hAnsi="Arial"/>
          <w:b/>
          <w:bCs/>
          <w:color w:val="1C2833"/>
          <w:sz w:val="24"/>
          <w:szCs w:val="24"/>
        </w:rPr>
        <w:t xml:space="preserve">7.2 Vaccination Impact</w:t>
      </w:r>
    </w:p>
    <w:p>
      <w:pPr>
        <w:spacing w:after="130"/>
      </w:pPr>
      <w:r>
        <w:rPr>
          <w:rFonts w:ascii="Arial" w:cs="Arial" w:eastAsia="Arial" w:hAnsi="Arial"/>
          <w:color w:val="4A4A4A"/>
          <w:sz w:val="22"/>
          <w:szCs w:val="22"/>
        </w:rPr>
        <w:t xml:space="preserve">Vaccination did not prevent infection surges — particularly for Delta and Omicron — but it substantially reduced mortality relative to case burden. Countries with higher vaccination rates (Germany, UK) show declining CFRs even as cases surged. The relationship between vaccination and new cases appeared positive, which is explained by the confounding factor of variant emergence concurrent with rollouts and the relaxation of non-pharmaceutical interventions as populations became vaccinated.</w:t>
      </w:r>
    </w:p>
    <w:p>
      <w:pPr>
        <w:pStyle w:val="Heading2"/>
        <w:spacing w:before="260" w:after="100"/>
      </w:pPr>
      <w:r>
        <w:rPr>
          <w:rFonts w:ascii="Arial" w:cs="Arial" w:eastAsia="Arial" w:hAnsi="Arial"/>
          <w:b/>
          <w:bCs/>
          <w:color w:val="1C2833"/>
          <w:sz w:val="24"/>
          <w:szCs w:val="24"/>
        </w:rPr>
        <w:t xml:space="preserve">7.3 Socioeconomic Determinants</w:t>
      </w:r>
    </w:p>
    <w:p>
      <w:pPr>
        <w:spacing w:after="130"/>
      </w:pPr>
      <w:r>
        <w:rPr>
          <w:rFonts w:ascii="Arial" w:cs="Arial" w:eastAsia="Arial" w:hAnsi="Arial"/>
          <w:color w:val="4A4A4A"/>
          <w:sz w:val="22"/>
          <w:szCs w:val="22"/>
        </w:rPr>
        <w:t xml:space="preserve">GDP per capita was the strongest socioeconomic predictor of vaccination rate, confirming the role of economic power in securing early vaccine access. Life expectancy positively correlates with deaths per million, reflecting the vulnerability of older populations. Countries in the Global South (India, Brazil, South Africa) faced a dual burden of slower vaccine access and healthcare systems under greater strain.</w:t>
      </w:r>
    </w:p>
    <w:p>
      <w:pPr>
        <w:pStyle w:val="Heading2"/>
        <w:spacing w:before="260" w:after="100"/>
      </w:pPr>
      <w:r>
        <w:rPr>
          <w:rFonts w:ascii="Arial" w:cs="Arial" w:eastAsia="Arial" w:hAnsi="Arial"/>
          <w:b/>
          <w:bCs/>
          <w:color w:val="1C2833"/>
          <w:sz w:val="24"/>
          <w:szCs w:val="24"/>
        </w:rPr>
        <w:t xml:space="preserve">7.4 Statistical Methodology Lessons</w:t>
      </w:r>
    </w:p>
    <w:p>
      <w:pPr>
        <w:spacing w:after="130"/>
      </w:pPr>
      <w:r>
        <w:rPr>
          <w:rFonts w:ascii="Arial" w:cs="Arial" w:eastAsia="Arial" w:hAnsi="Arial"/>
          <w:color w:val="4A4A4A"/>
          <w:sz w:val="22"/>
          <w:szCs w:val="22"/>
        </w:rPr>
        <w:t xml:space="preserve">The Shapiro-Wilk test confirmed that COVID-19 case and death data are non-normally distributed, making non-parametric tests (Mann-Whitney U, Spearman) the appropriate choice for group comparisons. Pearson correlation remains valid for large sample sizes even under mild non-normality, given the Central Limit Theorem. Log transformation is recommended before any regression modelling of case or death counts.</w:t>
      </w:r>
    </w:p>
    <w:p>
      <w:pPr>
        <w:spacing w:after="100"/>
      </w:pPr>
      <w:r>
        <w:t xml:space="preserve"/>
      </w:r>
    </w:p>
    <w:p>
      <w:pPr>
        <w:pStyle w:val="Heading1"/>
        <w:pBdr>
          <w:bottom w:val="single" w:color="00897B" w:sz="4" w:space="6"/>
        </w:pBdr>
        <w:spacing w:before="400" w:after="140"/>
      </w:pPr>
      <w:r>
        <w:rPr>
          <w:rFonts w:ascii="Arial" w:cs="Arial" w:eastAsia="Arial" w:hAnsi="Arial"/>
          <w:b/>
          <w:bCs/>
          <w:color w:val="00897B"/>
          <w:sz w:val="30"/>
          <w:szCs w:val="30"/>
        </w:rPr>
        <w:t xml:space="preserve">8. Recommendations</w:t>
      </w:r>
    </w:p>
    <w:p>
      <w:pPr>
        <w:pStyle w:val="Heading2"/>
        <w:spacing w:before="260" w:after="100"/>
      </w:pPr>
      <w:r>
        <w:rPr>
          <w:rFonts w:ascii="Arial" w:cs="Arial" w:eastAsia="Arial" w:hAnsi="Arial"/>
          <w:b/>
          <w:bCs/>
          <w:color w:val="1C2833"/>
          <w:sz w:val="24"/>
          <w:szCs w:val="24"/>
        </w:rPr>
        <w:t xml:space="preserve">8.1 For Future Analysis</w:t>
      </w:r>
    </w:p>
    <w:p>
      <w:pPr>
        <w:pStyle w:val="ListParagraph"/>
        <w:numPr>
          <w:ilvl w:val="0"/>
          <w:numId w:val="2"/>
        </w:numPr>
        <w:spacing w:after="90"/>
      </w:pPr>
      <w:r>
        <w:rPr>
          <w:rFonts w:ascii="Arial" w:cs="Arial" w:eastAsia="Arial" w:hAnsi="Arial"/>
          <w:color w:val="4A4A4A"/>
          <w:sz w:val="22"/>
          <w:szCs w:val="22"/>
        </w:rPr>
        <w:t xml:space="preserve">Incorporate excess mortality data to account for COVID-19 deaths that were not officially confirmed.</w:t>
      </w:r>
    </w:p>
    <w:p>
      <w:pPr>
        <w:pStyle w:val="ListParagraph"/>
        <w:numPr>
          <w:ilvl w:val="0"/>
          <w:numId w:val="2"/>
        </w:numPr>
        <w:spacing w:after="90"/>
      </w:pPr>
      <w:r>
        <w:rPr>
          <w:rFonts w:ascii="Arial" w:cs="Arial" w:eastAsia="Arial" w:hAnsi="Arial"/>
          <w:color w:val="4A4A4A"/>
          <w:sz w:val="22"/>
          <w:szCs w:val="22"/>
        </w:rPr>
        <w:t xml:space="preserve">Extend the dataset to 2023 to capture the post-Omicron endemic phase and its distinct dynamics.</w:t>
      </w:r>
    </w:p>
    <w:p>
      <w:pPr>
        <w:pStyle w:val="ListParagraph"/>
        <w:numPr>
          <w:ilvl w:val="0"/>
          <w:numId w:val="2"/>
        </w:numPr>
        <w:spacing w:after="90"/>
      </w:pPr>
      <w:r>
        <w:rPr>
          <w:rFonts w:ascii="Arial" w:cs="Arial" w:eastAsia="Arial" w:hAnsi="Arial"/>
          <w:color w:val="4A4A4A"/>
          <w:sz w:val="22"/>
          <w:szCs w:val="22"/>
        </w:rPr>
        <w:t xml:space="preserve">Apply time-series forecasting models (ARIMA, Prophet) to project future case trajectories.</w:t>
      </w:r>
    </w:p>
    <w:p>
      <w:pPr>
        <w:pStyle w:val="ListParagraph"/>
        <w:numPr>
          <w:ilvl w:val="0"/>
          <w:numId w:val="2"/>
        </w:numPr>
        <w:spacing w:after="90"/>
      </w:pPr>
      <w:r>
        <w:rPr>
          <w:rFonts w:ascii="Arial" w:cs="Arial" w:eastAsia="Arial" w:hAnsi="Arial"/>
          <w:color w:val="4A4A4A"/>
          <w:sz w:val="22"/>
          <w:szCs w:val="22"/>
        </w:rPr>
        <w:t xml:space="preserve">Include hospital capacity metrics to analyse the relationship between healthcare strain and CFR.</w:t>
      </w:r>
    </w:p>
    <w:p>
      <w:pPr>
        <w:pStyle w:val="ListParagraph"/>
        <w:numPr>
          <w:ilvl w:val="0"/>
          <w:numId w:val="2"/>
        </w:numPr>
        <w:spacing w:after="90"/>
      </w:pPr>
      <w:r>
        <w:rPr>
          <w:rFonts w:ascii="Arial" w:cs="Arial" w:eastAsia="Arial" w:hAnsi="Arial"/>
          <w:color w:val="4A4A4A"/>
          <w:sz w:val="22"/>
          <w:szCs w:val="22"/>
        </w:rPr>
        <w:t xml:space="preserve">Perform ANOVA across all continents to formally test whether geographic region is a significant predictor of pandemic outcomes.</w:t>
      </w:r>
    </w:p>
    <w:p>
      <w:pPr>
        <w:pStyle w:val="Heading2"/>
        <w:spacing w:before="260" w:after="100"/>
      </w:pPr>
      <w:r>
        <w:rPr>
          <w:rFonts w:ascii="Arial" w:cs="Arial" w:eastAsia="Arial" w:hAnsi="Arial"/>
          <w:b/>
          <w:bCs/>
          <w:color w:val="1C2833"/>
          <w:sz w:val="24"/>
          <w:szCs w:val="24"/>
        </w:rPr>
        <w:t xml:space="preserve">8.2 For Public Health Policy</w:t>
      </w:r>
    </w:p>
    <w:p>
      <w:pPr>
        <w:pStyle w:val="ListParagraph"/>
        <w:numPr>
          <w:ilvl w:val="0"/>
          <w:numId w:val="2"/>
        </w:numPr>
        <w:spacing w:after="90"/>
      </w:pPr>
      <w:r>
        <w:rPr>
          <w:rFonts w:ascii="Arial" w:cs="Arial" w:eastAsia="Arial" w:hAnsi="Arial"/>
          <w:color w:val="4A4A4A"/>
          <w:sz w:val="22"/>
          <w:szCs w:val="22"/>
        </w:rPr>
        <w:t xml:space="preserve">Equitable vaccine distribution must be a core component of future pandemic preparedness treaties.</w:t>
      </w:r>
    </w:p>
    <w:p>
      <w:pPr>
        <w:pStyle w:val="ListParagraph"/>
        <w:numPr>
          <w:ilvl w:val="0"/>
          <w:numId w:val="2"/>
        </w:numPr>
        <w:spacing w:after="90"/>
      </w:pPr>
      <w:r>
        <w:rPr>
          <w:rFonts w:ascii="Arial" w:cs="Arial" w:eastAsia="Arial" w:hAnsi="Arial"/>
          <w:color w:val="4A4A4A"/>
          <w:sz w:val="22"/>
          <w:szCs w:val="22"/>
        </w:rPr>
        <w:t xml:space="preserve">Countries with older populations must prioritise early booster programmes to protect the most vulnerable.</w:t>
      </w:r>
    </w:p>
    <w:p>
      <w:pPr>
        <w:pStyle w:val="ListParagraph"/>
        <w:numPr>
          <w:ilvl w:val="0"/>
          <w:numId w:val="2"/>
        </w:numPr>
        <w:spacing w:after="90"/>
      </w:pPr>
      <w:r>
        <w:rPr>
          <w:rFonts w:ascii="Arial" w:cs="Arial" w:eastAsia="Arial" w:hAnsi="Arial"/>
          <w:color w:val="4A4A4A"/>
          <w:sz w:val="22"/>
          <w:szCs w:val="22"/>
        </w:rPr>
        <w:t xml:space="preserve">Border control strategies (as demonstrated by Australia) can be effective in delaying community transmission but are not sustainable long-term.</w:t>
      </w:r>
    </w:p>
    <w:p>
      <w:pPr>
        <w:pStyle w:val="ListParagraph"/>
        <w:numPr>
          <w:ilvl w:val="0"/>
          <w:numId w:val="2"/>
        </w:numPr>
        <w:spacing w:after="90"/>
      </w:pPr>
      <w:r>
        <w:rPr>
          <w:rFonts w:ascii="Arial" w:cs="Arial" w:eastAsia="Arial" w:hAnsi="Arial"/>
          <w:color w:val="4A4A4A"/>
          <w:sz w:val="22"/>
          <w:szCs w:val="22"/>
        </w:rPr>
        <w:t xml:space="preserve">Public health messaging should address vaccine hesitancy, which contributed to lower vaccination rates in some regions even when supply was available.</w:t>
      </w:r>
    </w:p>
    <w:p>
      <w:pPr>
        <w:spacing w:after="100"/>
      </w:pPr>
      <w:r>
        <w:t xml:space="preserve"/>
      </w:r>
    </w:p>
    <w:p>
      <w:pPr>
        <w:pStyle w:val="Heading1"/>
        <w:pBdr>
          <w:bottom w:val="single" w:color="00897B" w:sz="4" w:space="6"/>
        </w:pBdr>
        <w:spacing w:before="400" w:after="140"/>
      </w:pPr>
      <w:r>
        <w:rPr>
          <w:rFonts w:ascii="Arial" w:cs="Arial" w:eastAsia="Arial" w:hAnsi="Arial"/>
          <w:b/>
          <w:bCs/>
          <w:color w:val="00897B"/>
          <w:sz w:val="30"/>
          <w:szCs w:val="30"/>
        </w:rPr>
        <w:t xml:space="preserve">9. References</w:t>
      </w:r>
    </w:p>
    <w:p>
      <w:pPr>
        <w:pStyle w:val="ListParagraph"/>
        <w:numPr>
          <w:ilvl w:val="0"/>
          <w:numId w:val="2"/>
        </w:numPr>
        <w:spacing w:after="90"/>
      </w:pPr>
      <w:r>
        <w:rPr>
          <w:rFonts w:ascii="Arial" w:cs="Arial" w:eastAsia="Arial" w:hAnsi="Arial"/>
          <w:color w:val="4A4A4A"/>
          <w:sz w:val="22"/>
          <w:szCs w:val="22"/>
        </w:rPr>
        <w:t xml:space="preserve">Our World in Data. (2022). COVID-19 Dataset. Retrieved from https://ourworldindata.org/covid-deaths</w:t>
      </w:r>
    </w:p>
    <w:p>
      <w:pPr>
        <w:pStyle w:val="ListParagraph"/>
        <w:numPr>
          <w:ilvl w:val="0"/>
          <w:numId w:val="2"/>
        </w:numPr>
        <w:spacing w:after="90"/>
      </w:pPr>
      <w:r>
        <w:rPr>
          <w:rFonts w:ascii="Arial" w:cs="Arial" w:eastAsia="Arial" w:hAnsi="Arial"/>
          <w:color w:val="4A4A4A"/>
          <w:sz w:val="22"/>
          <w:szCs w:val="22"/>
        </w:rPr>
        <w:t xml:space="preserve">Kaggle. (2022). COVID-19 World Vaccination Progress. Retrieved from https://www.kaggle.com/datasets/</w:t>
      </w:r>
    </w:p>
    <w:p>
      <w:pPr>
        <w:pStyle w:val="ListParagraph"/>
        <w:numPr>
          <w:ilvl w:val="0"/>
          <w:numId w:val="2"/>
        </w:numPr>
        <w:spacing w:after="90"/>
      </w:pPr>
      <w:r>
        <w:rPr>
          <w:rFonts w:ascii="Arial" w:cs="Arial" w:eastAsia="Arial" w:hAnsi="Arial"/>
          <w:color w:val="4A4A4A"/>
          <w:sz w:val="22"/>
          <w:szCs w:val="22"/>
        </w:rPr>
        <w:t xml:space="preserve">World Health Organisation. (2020–2022). COVID-19 Situation Reports. https://www.who.int</w:t>
      </w:r>
    </w:p>
    <w:p>
      <w:pPr>
        <w:pStyle w:val="ListParagraph"/>
        <w:numPr>
          <w:ilvl w:val="0"/>
          <w:numId w:val="2"/>
        </w:numPr>
        <w:spacing w:after="90"/>
      </w:pPr>
      <w:r>
        <w:rPr>
          <w:rFonts w:ascii="Arial" w:cs="Arial" w:eastAsia="Arial" w:hAnsi="Arial"/>
          <w:color w:val="4A4A4A"/>
          <w:sz w:val="22"/>
          <w:szCs w:val="22"/>
        </w:rPr>
        <w:t xml:space="preserve">SciPy. (2024). scipy.stats — Statistical Functions. https://docs.scipy.org</w:t>
      </w:r>
    </w:p>
    <w:p>
      <w:pPr>
        <w:pStyle w:val="ListParagraph"/>
        <w:numPr>
          <w:ilvl w:val="0"/>
          <w:numId w:val="2"/>
        </w:numPr>
        <w:spacing w:after="90"/>
      </w:pPr>
      <w:r>
        <w:rPr>
          <w:rFonts w:ascii="Arial" w:cs="Arial" w:eastAsia="Arial" w:hAnsi="Arial"/>
          <w:color w:val="4A4A4A"/>
          <w:sz w:val="22"/>
          <w:szCs w:val="22"/>
        </w:rPr>
        <w:t xml:space="preserve">Seaborn. (2024). Seaborn Statistical Data Visualization. https://seaborn.pydata.org</w:t>
      </w:r>
    </w:p>
    <w:p>
      <w:pPr>
        <w:pStyle w:val="ListParagraph"/>
        <w:numPr>
          <w:ilvl w:val="0"/>
          <w:numId w:val="2"/>
        </w:numPr>
        <w:spacing w:after="90"/>
      </w:pPr>
      <w:r>
        <w:rPr>
          <w:rFonts w:ascii="Arial" w:cs="Arial" w:eastAsia="Arial" w:hAnsi="Arial"/>
          <w:color w:val="4A4A4A"/>
          <w:sz w:val="22"/>
          <w:szCs w:val="22"/>
        </w:rPr>
        <w:t xml:space="preserve">Pandas Documentation. (2024). pandas — Python Data Analysis Library. https://pandas.pydata.org</w:t>
      </w:r>
    </w:p>
    <w:p>
      <w:pPr>
        <w:pStyle w:val="ListParagraph"/>
        <w:numPr>
          <w:ilvl w:val="0"/>
          <w:numId w:val="2"/>
        </w:numPr>
        <w:spacing w:after="90"/>
      </w:pPr>
      <w:r>
        <w:rPr>
          <w:rFonts w:ascii="Arial" w:cs="Arial" w:eastAsia="Arial" w:hAnsi="Arial"/>
          <w:color w:val="4A4A4A"/>
          <w:sz w:val="22"/>
          <w:szCs w:val="22"/>
        </w:rPr>
        <w:t xml:space="preserve">DEVSIL Mini Project Brief — February 2025. Huzaifa Toufeeq. DEVSIL (SMC-PRIVATE) LIMITED.</w:t>
      </w:r>
    </w:p>
    <w:p>
      <w:pPr>
        <w:spacing w:after="200"/>
      </w:pPr>
      <w:r>
        <w:t xml:space="preserve"/>
      </w:r>
    </w:p>
    <w:p>
      <w:pPr>
        <w:pBdr>
          <w:top w:val="single" w:color="00897B" w:sz="4" w:space="10"/>
        </w:pBdr>
        <w:spacing w:before="300"/>
        <w:jc w:val="center"/>
      </w:pPr>
      <w:r>
        <w:rPr>
          <w:rFonts w:ascii="Arial" w:cs="Arial" w:eastAsia="Arial" w:hAnsi="Arial"/>
          <w:i/>
          <w:iCs/>
          <w:color w:val="4A4A4A"/>
          <w:sz w:val="18"/>
          <w:szCs w:val="18"/>
        </w:rPr>
        <w:t xml:space="preserve">End of Report   |   Prepared by Huzaifa Toufeeq   |   DEVSIL (SMC-PRIVATE) LIMITED   |   February 1, 2025</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6"/>
      </w:pBdr>
      <w:jc w:val="center"/>
    </w:pPr>
    <w:r>
      <w:rPr>
        <w:rFonts w:ascii="Arial" w:cs="Arial" w:eastAsia="Arial" w:hAnsi="Arial"/>
        <w:color w:val="4A4A4A"/>
        <w:sz w:val="17"/>
        <w:szCs w:val="17"/>
      </w:rPr>
      <w:t xml:space="preserve">Huzaifa Toufeeq  |  February 1, 2025  |  Page </w:t>
    </w:r>
    <w:r>
      <w:rPr>
        <w:rFonts w:ascii="Arial" w:cs="Arial" w:eastAsia="Arial" w:hAnsi="Arial"/>
        <w:color w:val="4A4A4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897B" w:sz="4" w:space="6"/>
      </w:pBdr>
    </w:pPr>
    <w:r>
      <w:rPr>
        <w:rFonts w:ascii="Arial" w:cs="Arial" w:eastAsia="Arial" w:hAnsi="Arial"/>
        <w:b/>
        <w:bCs/>
        <w:color w:val="00897B"/>
        <w:sz w:val="18"/>
        <w:szCs w:val="18"/>
      </w:rPr>
      <w:t xml:space="preserve">COVID-19 GLOBAL PANDEMIC ANALYSIS REPORT</w:t>
    </w:r>
    <w:r>
      <w:rPr>
        <w:rFonts w:ascii="Arial" w:cs="Arial" w:eastAsia="Arial" w:hAnsi="Arial"/>
        <w:color w:val="4A4A4A"/>
        <w:sz w:val="18"/>
        <w:szCs w:val="18"/>
      </w:rPr>
      <w:t xml:space="preserve">   |   DEVSIL (SMC-PRIVATE) LIMITED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color w:val="00897B"/>
      <w:sz w:val="30"/>
      <w:szCs w:val="30"/>
    </w:rPr>
  </w:style>
  <w:style w:type="paragraph" w:styleId="Heading2">
    <w:name w:val="Heading 2"/>
    <w:basedOn w:val="Normal"/>
    <w:next w:val="Normal"/>
    <w:qFormat/>
    <w:pPr>
      <w:spacing w:before="260" w:after="100"/>
      <w:outlineLvl w:val="1"/>
    </w:pPr>
    <w:rPr>
      <w:rFonts w:ascii="Arial" w:cs="Arial" w:eastAsia="Arial" w:hAnsi="Arial"/>
      <w:b/>
      <w:bCs/>
      <w:color w:val="1C28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2026-03-11T02:38:30.063Z</dcterms:created>
  <dcterms:modified xsi:type="dcterms:W3CDTF">2026-03-11T02:38:30.064Z</dcterms:modified>
</cp:coreProperties>
</file>

<file path=docProps/custom.xml><?xml version="1.0" encoding="utf-8"?>
<Properties xmlns="http://schemas.openxmlformats.org/officeDocument/2006/custom-properties" xmlns:vt="http://schemas.openxmlformats.org/officeDocument/2006/docPropsVTypes"/>
</file>