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after="200"/>
        <w:jc w:val="center"/>
      </w:pPr>
      <w:r>
        <w:t>Thrift Kro Backend Architecture and Operations Guide</w:t>
      </w:r>
    </w:p>
    <w:p>
      <w:pPr>
        <w:spacing w:after="760"/>
        <w:jc w:val="center"/>
      </w:pPr>
      <w:r>
        <w:rPr>
          <w:rFonts w:ascii="Aptos Display" w:hAnsi="Aptos Display"/>
          <w:color w:val="000000"/>
          <w:sz w:val="32"/>
        </w:rPr>
        <w:t>Current Implementation Guide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376"/>
            <w:vAlign w:val="center"/>
            <w:shd w:fill="1F4E78"/>
            <w:tcMar>
              <w:top w:w="100" w:type="dxa"/>
              <w:start w:w="120" w:type="dxa"/>
              <w:bottom w:w="100" w:type="dxa"/>
              <w:end w:w="120" w:type="dxa"/>
            </w:tcMar>
          </w:tcPr>
          <w:p>
            <w:pPr>
              <w:jc w:val="center"/>
            </w:pPr>
            <w:r>
              <w:rPr>
                <w:b/>
                <w:color w:val="FFFFFF"/>
                <w:sz w:val="18"/>
              </w:rPr>
              <w:t>Field</w:t>
            </w:r>
          </w:p>
        </w:tc>
        <w:tc>
          <w:tcPr>
            <w:tcW w:type="dxa" w:w="7416"/>
            <w:vAlign w:val="center"/>
            <w:shd w:fill="1F4E78"/>
            <w:tcMar>
              <w:top w:w="100" w:type="dxa"/>
              <w:start w:w="120" w:type="dxa"/>
              <w:bottom w:w="100" w:type="dxa"/>
              <w:end w:w="120" w:type="dxa"/>
            </w:tcMar>
          </w:tcPr>
          <w:p>
            <w:pPr>
              <w:jc w:val="center"/>
            </w:pPr>
            <w:r>
              <w:rPr>
                <w:b/>
                <w:color w:val="FFFFFF"/>
                <w:sz w:val="18"/>
              </w:rPr>
              <w:t>Value</w:t>
            </w:r>
          </w:p>
        </w:tc>
      </w:tr>
      <w:tr>
        <w:trPr>
          <w:cantSplit/>
        </w:trPr>
        <w:tc>
          <w:tcPr>
            <w:tcW w:type="dxa" w:w="2376"/>
            <w:vAlign w:val="center"/>
            <w:tcMar>
              <w:top w:w="100" w:type="dxa"/>
              <w:start w:w="120" w:type="dxa"/>
              <w:bottom w:w="100" w:type="dxa"/>
              <w:end w:w="120" w:type="dxa"/>
            </w:tcMar>
          </w:tcPr>
          <w:p>
            <w:pPr>
              <w:spacing w:after="0"/>
            </w:pPr>
            <w:r>
              <w:rPr>
                <w:sz w:val="18"/>
              </w:rPr>
              <w:t>Document status</w:t>
            </w:r>
          </w:p>
        </w:tc>
        <w:tc>
          <w:tcPr>
            <w:tcW w:type="dxa" w:w="7416"/>
            <w:vAlign w:val="center"/>
            <w:tcMar>
              <w:top w:w="100" w:type="dxa"/>
              <w:start w:w="120" w:type="dxa"/>
              <w:bottom w:w="100" w:type="dxa"/>
              <w:end w:w="120" w:type="dxa"/>
            </w:tcMar>
          </w:tcPr>
          <w:p>
            <w:pPr>
              <w:spacing w:after="0"/>
            </w:pPr>
            <w:r>
              <w:rPr>
                <w:sz w:val="18"/>
              </w:rPr>
              <w:t>Implementation reference</w:t>
            </w:r>
          </w:p>
        </w:tc>
      </w:tr>
      <w:tr>
        <w:trPr>
          <w:cantSplit/>
        </w:trPr>
        <w:tc>
          <w:tcPr>
            <w:tcW w:type="dxa" w:w="2376"/>
            <w:vAlign w:val="center"/>
            <w:tcMar>
              <w:top w:w="100" w:type="dxa"/>
              <w:start w:w="120" w:type="dxa"/>
              <w:bottom w:w="100" w:type="dxa"/>
              <w:end w:w="120" w:type="dxa"/>
            </w:tcMar>
            <w:shd w:fill="EAF2F8"/>
          </w:tcPr>
          <w:p>
            <w:pPr>
              <w:spacing w:after="0"/>
            </w:pPr>
            <w:r>
              <w:rPr>
                <w:sz w:val="18"/>
              </w:rPr>
              <w:t>Verified date</w:t>
            </w:r>
          </w:p>
        </w:tc>
        <w:tc>
          <w:tcPr>
            <w:tcW w:type="dxa" w:w="7416"/>
            <w:vAlign w:val="center"/>
            <w:tcMar>
              <w:top w:w="100" w:type="dxa"/>
              <w:start w:w="120" w:type="dxa"/>
              <w:bottom w:w="100" w:type="dxa"/>
              <w:end w:w="120" w:type="dxa"/>
            </w:tcMar>
            <w:shd w:fill="EAF2F8"/>
          </w:tcPr>
          <w:p>
            <w:pPr>
              <w:spacing w:after="0"/>
            </w:pPr>
            <w:r>
              <w:rPr>
                <w:sz w:val="18"/>
              </w:rPr>
              <w:t>18 October 2026</w:t>
            </w:r>
          </w:p>
        </w:tc>
      </w:tr>
      <w:tr>
        <w:trPr>
          <w:cantSplit/>
        </w:trPr>
        <w:tc>
          <w:tcPr>
            <w:tcW w:type="dxa" w:w="2376"/>
            <w:vAlign w:val="center"/>
            <w:tcMar>
              <w:top w:w="100" w:type="dxa"/>
              <w:start w:w="120" w:type="dxa"/>
              <w:bottom w:w="100" w:type="dxa"/>
              <w:end w:w="120" w:type="dxa"/>
            </w:tcMar>
          </w:tcPr>
          <w:p>
            <w:pPr>
              <w:spacing w:after="0"/>
            </w:pPr>
            <w:r>
              <w:rPr>
                <w:sz w:val="18"/>
              </w:rPr>
              <w:t>Database migration head</w:t>
            </w:r>
          </w:p>
        </w:tc>
        <w:tc>
          <w:tcPr>
            <w:tcW w:type="dxa" w:w="7416"/>
            <w:vAlign w:val="center"/>
            <w:tcMar>
              <w:top w:w="100" w:type="dxa"/>
              <w:start w:w="120" w:type="dxa"/>
              <w:bottom w:w="100" w:type="dxa"/>
              <w:end w:w="120" w:type="dxa"/>
            </w:tcMar>
          </w:tcPr>
          <w:p>
            <w:pPr>
              <w:spacing w:after="0"/>
            </w:pPr>
            <w:r>
              <w:rPr>
                <w:sz w:val="18"/>
              </w:rPr>
              <w:t>20261018_15</w:t>
            </w:r>
          </w:p>
        </w:tc>
      </w:tr>
      <w:tr>
        <w:trPr>
          <w:cantSplit/>
        </w:trPr>
        <w:tc>
          <w:tcPr>
            <w:tcW w:type="dxa" w:w="2376"/>
            <w:vAlign w:val="center"/>
            <w:tcMar>
              <w:top w:w="100" w:type="dxa"/>
              <w:start w:w="120" w:type="dxa"/>
              <w:bottom w:w="100" w:type="dxa"/>
              <w:end w:w="120" w:type="dxa"/>
            </w:tcMar>
            <w:shd w:fill="EAF2F8"/>
          </w:tcPr>
          <w:p>
            <w:pPr>
              <w:spacing w:after="0"/>
            </w:pPr>
            <w:r>
              <w:rPr>
                <w:sz w:val="18"/>
              </w:rPr>
              <w:t>Primary audience</w:t>
            </w:r>
          </w:p>
        </w:tc>
        <w:tc>
          <w:tcPr>
            <w:tcW w:type="dxa" w:w="7416"/>
            <w:vAlign w:val="center"/>
            <w:tcMar>
              <w:top w:w="100" w:type="dxa"/>
              <w:start w:w="120" w:type="dxa"/>
              <w:bottom w:w="100" w:type="dxa"/>
              <w:end w:w="120" w:type="dxa"/>
            </w:tcMar>
            <w:shd w:fill="EAF2F8"/>
          </w:tcPr>
          <w:p>
            <w:pPr>
              <w:spacing w:after="0"/>
            </w:pPr>
            <w:r>
              <w:rPr>
                <w:sz w:val="18"/>
              </w:rPr>
              <w:t>Backend developers, frontend integrators, database operators, and release operators</w:t>
            </w:r>
          </w:p>
        </w:tc>
      </w:tr>
      <w:tr>
        <w:trPr>
          <w:cantSplit/>
        </w:trPr>
        <w:tc>
          <w:tcPr>
            <w:tcW w:type="dxa" w:w="2376"/>
            <w:vAlign w:val="center"/>
            <w:tcMar>
              <w:top w:w="100" w:type="dxa"/>
              <w:start w:w="120" w:type="dxa"/>
              <w:bottom w:w="100" w:type="dxa"/>
              <w:end w:w="120" w:type="dxa"/>
            </w:tcMar>
          </w:tcPr>
          <w:p>
            <w:pPr>
              <w:spacing w:after="0"/>
            </w:pPr>
            <w:r>
              <w:rPr>
                <w:sz w:val="18"/>
              </w:rPr>
              <w:t>Scope</w:t>
            </w:r>
          </w:p>
        </w:tc>
        <w:tc>
          <w:tcPr>
            <w:tcW w:type="dxa" w:w="7416"/>
            <w:vAlign w:val="center"/>
            <w:tcMar>
              <w:top w:w="100" w:type="dxa"/>
              <w:start w:w="120" w:type="dxa"/>
              <w:bottom w:w="100" w:type="dxa"/>
              <w:end w:w="120" w:type="dxa"/>
            </w:tcMar>
          </w:tcPr>
          <w:p>
            <w:pPr>
              <w:spacing w:after="0"/>
            </w:pPr>
            <w:r>
              <w:rPr>
                <w:sz w:val="18"/>
              </w:rPr>
              <w:t>Current backend, local PostgreSQL in pgAdmin, frontend integration, and deployment operations</w:t>
            </w:r>
          </w:p>
        </w:tc>
      </w:tr>
    </w:tbl>
    <w:p>
      <w:pPr>
        <w:spacing w:after="0"/>
      </w:pPr>
    </w:p>
    <w:p>
      <w:pPr>
        <w:spacing w:before="360"/>
      </w:pPr>
      <w:r>
        <w:t>This guide describes the behavior implemented in the repository and the procedures required to operate it safely. Alembic migrations, SQLAlchemy models, API schemas, tests, and deployment configuration are the authoritative sources. The sibling Database folder contains legacy assets and is not a schema authority.</w:t>
      </w:r>
    </w:p>
    <w:p>
      <w:r>
        <w:rPr>
          <w:b/>
        </w:rPr>
        <w:t xml:space="preserve">Release boundary  </w:t>
      </w:r>
      <w:r>
        <w:t>AI product verification is not available in this release. Virtual try on is also deferred while a new architecture is designed. Existing VTON integration code must not be described as an approved production capability.</w:t>
      </w:r>
    </w:p>
    <w:p>
      <w:pPr>
        <w:pStyle w:val="Heading1"/>
        <w:pageBreakBefore/>
      </w:pPr>
      <w:r>
        <w:t>System Purpose and Authority</w:t>
      </w:r>
    </w:p>
    <w:p>
      <w:r>
        <w:t>Thrift Kro is a multi-vendor marketplace API for buyers, sellers, and administrators. The backend owns identity, authorization, catalog rules, shopping state, checkout totals, inventory changes, order transitions, wallet accounting, seller verification, reviews, support, chat persistence, and administrative reporting. Browser behavior is never a security boundary.</w:t>
      </w:r>
    </w:p>
    <w:p>
      <w:pPr>
        <w:pStyle w:val="Heading2"/>
      </w:pPr>
      <w:r>
        <w:t>Canonical Sources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448"/>
            <w:vAlign w:val="center"/>
            <w:shd w:fill="1F4E78"/>
            <w:tcMar>
              <w:top w:w="100" w:type="dxa"/>
              <w:start w:w="120" w:type="dxa"/>
              <w:bottom w:w="100" w:type="dxa"/>
              <w:end w:w="120" w:type="dxa"/>
            </w:tcMar>
          </w:tcPr>
          <w:p>
            <w:pPr>
              <w:jc w:val="center"/>
            </w:pPr>
            <w:r>
              <w:rPr>
                <w:b/>
                <w:color w:val="FFFFFF"/>
                <w:sz w:val="18"/>
              </w:rPr>
              <w:t>Concern</w:t>
            </w:r>
          </w:p>
        </w:tc>
        <w:tc>
          <w:tcPr>
            <w:tcW w:type="dxa" w:w="7344"/>
            <w:vAlign w:val="center"/>
            <w:shd w:fill="1F4E78"/>
            <w:tcMar>
              <w:top w:w="100" w:type="dxa"/>
              <w:start w:w="120" w:type="dxa"/>
              <w:bottom w:w="100" w:type="dxa"/>
              <w:end w:w="120" w:type="dxa"/>
            </w:tcMar>
          </w:tcPr>
          <w:p>
            <w:pPr>
              <w:jc w:val="center"/>
            </w:pPr>
            <w:r>
              <w:rPr>
                <w:b/>
                <w:color w:val="FFFFFF"/>
                <w:sz w:val="18"/>
              </w:rPr>
              <w:t>Authority</w:t>
            </w:r>
          </w:p>
        </w:tc>
      </w:tr>
      <w:tr>
        <w:trPr>
          <w:cantSplit/>
        </w:trPr>
        <w:tc>
          <w:tcPr>
            <w:tcW w:type="dxa" w:w="2448"/>
            <w:vAlign w:val="center"/>
            <w:tcMar>
              <w:top w:w="100" w:type="dxa"/>
              <w:start w:w="120" w:type="dxa"/>
              <w:bottom w:w="100" w:type="dxa"/>
              <w:end w:w="120" w:type="dxa"/>
            </w:tcMar>
          </w:tcPr>
          <w:p>
            <w:pPr>
              <w:spacing w:after="0"/>
            </w:pPr>
            <w:r>
              <w:rPr>
                <w:sz w:val="18"/>
              </w:rPr>
              <w:t>Database schema</w:t>
            </w:r>
          </w:p>
        </w:tc>
        <w:tc>
          <w:tcPr>
            <w:tcW w:type="dxa" w:w="7344"/>
            <w:vAlign w:val="center"/>
            <w:tcMar>
              <w:top w:w="100" w:type="dxa"/>
              <w:start w:w="120" w:type="dxa"/>
              <w:bottom w:w="100" w:type="dxa"/>
              <w:end w:w="120" w:type="dxa"/>
            </w:tcMar>
          </w:tcPr>
          <w:p>
            <w:pPr>
              <w:spacing w:after="0"/>
            </w:pPr>
            <w:r>
              <w:rPr>
                <w:sz w:val="18"/>
              </w:rPr>
              <w:t>alembic/versions and the current Alembic head</w:t>
            </w:r>
          </w:p>
        </w:tc>
      </w:tr>
      <w:tr>
        <w:trPr>
          <w:cantSplit/>
        </w:trPr>
        <w:tc>
          <w:tcPr>
            <w:tcW w:type="dxa" w:w="2448"/>
            <w:vAlign w:val="center"/>
            <w:tcMar>
              <w:top w:w="100" w:type="dxa"/>
              <w:start w:w="120" w:type="dxa"/>
              <w:bottom w:w="100" w:type="dxa"/>
              <w:end w:w="120" w:type="dxa"/>
            </w:tcMar>
            <w:shd w:fill="EAF2F8"/>
          </w:tcPr>
          <w:p>
            <w:pPr>
              <w:spacing w:after="0"/>
            </w:pPr>
            <w:r>
              <w:rPr>
                <w:sz w:val="18"/>
              </w:rPr>
              <w:t>Data relationships</w:t>
            </w:r>
          </w:p>
        </w:tc>
        <w:tc>
          <w:tcPr>
            <w:tcW w:type="dxa" w:w="7344"/>
            <w:vAlign w:val="center"/>
            <w:tcMar>
              <w:top w:w="100" w:type="dxa"/>
              <w:start w:w="120" w:type="dxa"/>
              <w:bottom w:w="100" w:type="dxa"/>
              <w:end w:w="120" w:type="dxa"/>
            </w:tcMar>
            <w:shd w:fill="EAF2F8"/>
          </w:tcPr>
          <w:p>
            <w:pPr>
              <w:spacing w:after="0"/>
            </w:pPr>
            <w:r>
              <w:rPr>
                <w:sz w:val="18"/>
              </w:rPr>
              <w:t>app/models and migration constraints</w:t>
            </w:r>
          </w:p>
        </w:tc>
      </w:tr>
      <w:tr>
        <w:trPr>
          <w:cantSplit/>
        </w:trPr>
        <w:tc>
          <w:tcPr>
            <w:tcW w:type="dxa" w:w="2448"/>
            <w:vAlign w:val="center"/>
            <w:tcMar>
              <w:top w:w="100" w:type="dxa"/>
              <w:start w:w="120" w:type="dxa"/>
              <w:bottom w:w="100" w:type="dxa"/>
              <w:end w:w="120" w:type="dxa"/>
            </w:tcMar>
          </w:tcPr>
          <w:p>
            <w:pPr>
              <w:spacing w:after="0"/>
            </w:pPr>
            <w:r>
              <w:rPr>
                <w:sz w:val="18"/>
              </w:rPr>
              <w:t>HTTP contracts</w:t>
            </w:r>
          </w:p>
        </w:tc>
        <w:tc>
          <w:tcPr>
            <w:tcW w:type="dxa" w:w="7344"/>
            <w:vAlign w:val="center"/>
            <w:tcMar>
              <w:top w:w="100" w:type="dxa"/>
              <w:start w:w="120" w:type="dxa"/>
              <w:bottom w:w="100" w:type="dxa"/>
              <w:end w:w="120" w:type="dxa"/>
            </w:tcMar>
          </w:tcPr>
          <w:p>
            <w:pPr>
              <w:spacing w:after="0"/>
            </w:pPr>
            <w:r>
              <w:rPr>
                <w:sz w:val="18"/>
              </w:rPr>
              <w:t>app/schemas, app/api/v1/routers, and generated OpenAPI</w:t>
            </w:r>
          </w:p>
        </w:tc>
      </w:tr>
      <w:tr>
        <w:trPr>
          <w:cantSplit/>
        </w:trPr>
        <w:tc>
          <w:tcPr>
            <w:tcW w:type="dxa" w:w="2448"/>
            <w:vAlign w:val="center"/>
            <w:tcMar>
              <w:top w:w="100" w:type="dxa"/>
              <w:start w:w="120" w:type="dxa"/>
              <w:bottom w:w="100" w:type="dxa"/>
              <w:end w:w="120" w:type="dxa"/>
            </w:tcMar>
            <w:shd w:fill="EAF2F8"/>
          </w:tcPr>
          <w:p>
            <w:pPr>
              <w:spacing w:after="0"/>
            </w:pPr>
            <w:r>
              <w:rPr>
                <w:sz w:val="18"/>
              </w:rPr>
              <w:t>Business behavior</w:t>
            </w:r>
          </w:p>
        </w:tc>
        <w:tc>
          <w:tcPr>
            <w:tcW w:type="dxa" w:w="7344"/>
            <w:vAlign w:val="center"/>
            <w:tcMar>
              <w:top w:w="100" w:type="dxa"/>
              <w:start w:w="120" w:type="dxa"/>
              <w:bottom w:w="100" w:type="dxa"/>
              <w:end w:w="120" w:type="dxa"/>
            </w:tcMar>
            <w:shd w:fill="EAF2F8"/>
          </w:tcPr>
          <w:p>
            <w:pPr>
              <w:spacing w:after="0"/>
            </w:pPr>
            <w:r>
              <w:rPr>
                <w:sz w:val="18"/>
              </w:rPr>
              <w:t>app/services, app/crud, and PostgreSQL integration tests</w:t>
            </w:r>
          </w:p>
        </w:tc>
      </w:tr>
      <w:tr>
        <w:trPr>
          <w:cantSplit/>
        </w:trPr>
        <w:tc>
          <w:tcPr>
            <w:tcW w:type="dxa" w:w="2448"/>
            <w:vAlign w:val="center"/>
            <w:tcMar>
              <w:top w:w="100" w:type="dxa"/>
              <w:start w:w="120" w:type="dxa"/>
              <w:bottom w:w="100" w:type="dxa"/>
              <w:end w:w="120" w:type="dxa"/>
            </w:tcMar>
          </w:tcPr>
          <w:p>
            <w:pPr>
              <w:spacing w:after="0"/>
            </w:pPr>
            <w:r>
              <w:rPr>
                <w:sz w:val="18"/>
              </w:rPr>
              <w:t>Deployment</w:t>
            </w:r>
          </w:p>
        </w:tc>
        <w:tc>
          <w:tcPr>
            <w:tcW w:type="dxa" w:w="7344"/>
            <w:vAlign w:val="center"/>
            <w:tcMar>
              <w:top w:w="100" w:type="dxa"/>
              <w:start w:w="120" w:type="dxa"/>
              <w:bottom w:w="100" w:type="dxa"/>
              <w:end w:w="120" w:type="dxa"/>
            </w:tcMar>
          </w:tcPr>
          <w:p>
            <w:pPr>
              <w:spacing w:after="0"/>
            </w:pPr>
            <w:r>
              <w:rPr>
                <w:sz w:val="18"/>
              </w:rPr>
              <w:t>railway.json and docs/operations/deployment.md</w:t>
            </w:r>
          </w:p>
        </w:tc>
      </w:tr>
      <w:tr>
        <w:trPr>
          <w:cantSplit/>
        </w:trPr>
        <w:tc>
          <w:tcPr>
            <w:tcW w:type="dxa" w:w="2448"/>
            <w:vAlign w:val="center"/>
            <w:tcMar>
              <w:top w:w="100" w:type="dxa"/>
              <w:start w:w="120" w:type="dxa"/>
              <w:bottom w:w="100" w:type="dxa"/>
              <w:end w:w="120" w:type="dxa"/>
            </w:tcMar>
            <w:shd w:fill="EAF2F8"/>
          </w:tcPr>
          <w:p>
            <w:pPr>
              <w:spacing w:after="0"/>
            </w:pPr>
            <w:r>
              <w:rPr>
                <w:sz w:val="18"/>
              </w:rPr>
              <w:t>Dependencies</w:t>
            </w:r>
          </w:p>
        </w:tc>
        <w:tc>
          <w:tcPr>
            <w:tcW w:type="dxa" w:w="7344"/>
            <w:vAlign w:val="center"/>
            <w:tcMar>
              <w:top w:w="100" w:type="dxa"/>
              <w:start w:w="120" w:type="dxa"/>
              <w:bottom w:w="100" w:type="dxa"/>
              <w:end w:w="120" w:type="dxa"/>
            </w:tcMar>
            <w:shd w:fill="EAF2F8"/>
          </w:tcPr>
          <w:p>
            <w:pPr>
              <w:spacing w:after="0"/>
            </w:pPr>
            <w:r>
              <w:rPr>
                <w:sz w:val="18"/>
              </w:rPr>
              <w:t>requirements.in plus hash locked requirements.txt</w:t>
            </w:r>
          </w:p>
        </w:tc>
      </w:tr>
    </w:tbl>
    <w:p>
      <w:pPr>
        <w:spacing w:after="0"/>
      </w:pPr>
    </w:p>
    <w:p>
      <w:pPr>
        <w:pStyle w:val="Heading2"/>
      </w:pPr>
      <w:r>
        <w:t>Legacy Assets</w:t>
      </w:r>
    </w:p>
    <w:p>
      <w:r>
        <w:t>Do not run raw schema, initialization, or seed scripts from D:\FYP\Database against an application database. Those files describe an earlier schema generation and include destructive initialization behavior. New databases start from the Alembic baseline. Existing unversioned databases use the guarded adoption checker before normal migrations.</w:t>
      </w:r>
    </w:p>
    <w:p>
      <w:pPr>
        <w:pStyle w:val="Heading1"/>
      </w:pPr>
      <w:r>
        <w:t>Runtime Architecture</w:t>
      </w:r>
    </w:p>
    <w:p>
      <w:r>
        <w:t>The application is a modular monolith. FastAPI routes validate transport contracts and enforce dependencies. Service and CRUD modules implement business transactions. SQLAlchemy maps domain records to PostgreSQL, and Alembic controls every schema change.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232"/>
            <w:vAlign w:val="center"/>
            <w:shd w:fill="1F4E78"/>
            <w:tcMar>
              <w:top w:w="100" w:type="dxa"/>
              <w:start w:w="120" w:type="dxa"/>
              <w:bottom w:w="100" w:type="dxa"/>
              <w:end w:w="120" w:type="dxa"/>
            </w:tcMar>
          </w:tcPr>
          <w:p>
            <w:pPr>
              <w:jc w:val="center"/>
            </w:pPr>
            <w:r>
              <w:rPr>
                <w:b/>
                <w:color w:val="FFFFFF"/>
                <w:sz w:val="18"/>
              </w:rPr>
              <w:t>Layer</w:t>
            </w:r>
          </w:p>
        </w:tc>
        <w:tc>
          <w:tcPr>
            <w:tcW w:type="dxa" w:w="7560"/>
            <w:vAlign w:val="center"/>
            <w:shd w:fill="1F4E78"/>
            <w:tcMar>
              <w:top w:w="100" w:type="dxa"/>
              <w:start w:w="120" w:type="dxa"/>
              <w:bottom w:w="100" w:type="dxa"/>
              <w:end w:w="120" w:type="dxa"/>
            </w:tcMar>
          </w:tcPr>
          <w:p>
            <w:pPr>
              <w:jc w:val="center"/>
            </w:pPr>
            <w:r>
              <w:rPr>
                <w:b/>
                <w:color w:val="FFFFFF"/>
                <w:sz w:val="18"/>
              </w:rPr>
              <w:t>Responsibility</w:t>
            </w:r>
          </w:p>
        </w:tc>
      </w:tr>
      <w:tr>
        <w:trPr>
          <w:cantSplit/>
        </w:trPr>
        <w:tc>
          <w:tcPr>
            <w:tcW w:type="dxa" w:w="2232"/>
            <w:vAlign w:val="center"/>
            <w:tcMar>
              <w:top w:w="100" w:type="dxa"/>
              <w:start w:w="120" w:type="dxa"/>
              <w:bottom w:w="100" w:type="dxa"/>
              <w:end w:w="120" w:type="dxa"/>
            </w:tcMar>
          </w:tcPr>
          <w:p>
            <w:pPr>
              <w:spacing w:after="0"/>
            </w:pPr>
            <w:r>
              <w:rPr>
                <w:sz w:val="18"/>
              </w:rPr>
              <w:t>Application entry</w:t>
            </w:r>
          </w:p>
        </w:tc>
        <w:tc>
          <w:tcPr>
            <w:tcW w:type="dxa" w:w="7560"/>
            <w:vAlign w:val="center"/>
            <w:tcMar>
              <w:top w:w="100" w:type="dxa"/>
              <w:start w:w="120" w:type="dxa"/>
              <w:bottom w:w="100" w:type="dxa"/>
              <w:end w:w="120" w:type="dxa"/>
            </w:tcMar>
          </w:tcPr>
          <w:p>
            <w:pPr>
              <w:spacing w:after="0"/>
            </w:pPr>
            <w:r>
              <w:rPr>
                <w:sz w:val="18"/>
              </w:rPr>
              <w:t>FastAPI construction, CORS, global error handling, observability middleware, health routes, and graceful connection disposal</w:t>
            </w:r>
          </w:p>
        </w:tc>
      </w:tr>
      <w:tr>
        <w:trPr>
          <w:cantSplit/>
        </w:trPr>
        <w:tc>
          <w:tcPr>
            <w:tcW w:type="dxa" w:w="2232"/>
            <w:vAlign w:val="center"/>
            <w:tcMar>
              <w:top w:w="100" w:type="dxa"/>
              <w:start w:w="120" w:type="dxa"/>
              <w:bottom w:w="100" w:type="dxa"/>
              <w:end w:w="120" w:type="dxa"/>
            </w:tcMar>
            <w:shd w:fill="EAF2F8"/>
          </w:tcPr>
          <w:p>
            <w:pPr>
              <w:spacing w:after="0"/>
            </w:pPr>
            <w:r>
              <w:rPr>
                <w:sz w:val="18"/>
              </w:rPr>
              <w:t>API layer</w:t>
            </w:r>
          </w:p>
        </w:tc>
        <w:tc>
          <w:tcPr>
            <w:tcW w:type="dxa" w:w="7560"/>
            <w:vAlign w:val="center"/>
            <w:tcMar>
              <w:top w:w="100" w:type="dxa"/>
              <w:start w:w="120" w:type="dxa"/>
              <w:bottom w:w="100" w:type="dxa"/>
              <w:end w:w="120" w:type="dxa"/>
            </w:tcMar>
            <w:shd w:fill="EAF2F8"/>
          </w:tcPr>
          <w:p>
            <w:pPr>
              <w:spacing w:after="0"/>
            </w:pPr>
            <w:r>
              <w:rPr>
                <w:sz w:val="18"/>
              </w:rPr>
              <w:t>Versioned HTTP and WebSocket endpoints, request validation, authentication dependencies, and response models</w:t>
            </w:r>
          </w:p>
        </w:tc>
      </w:tr>
      <w:tr>
        <w:trPr>
          <w:cantSplit/>
        </w:trPr>
        <w:tc>
          <w:tcPr>
            <w:tcW w:type="dxa" w:w="2232"/>
            <w:vAlign w:val="center"/>
            <w:tcMar>
              <w:top w:w="100" w:type="dxa"/>
              <w:start w:w="120" w:type="dxa"/>
              <w:bottom w:w="100" w:type="dxa"/>
              <w:end w:w="120" w:type="dxa"/>
            </w:tcMar>
          </w:tcPr>
          <w:p>
            <w:pPr>
              <w:spacing w:after="0"/>
            </w:pPr>
            <w:r>
              <w:rPr>
                <w:sz w:val="18"/>
              </w:rPr>
              <w:t>Domain operations</w:t>
            </w:r>
          </w:p>
        </w:tc>
        <w:tc>
          <w:tcPr>
            <w:tcW w:type="dxa" w:w="7560"/>
            <w:vAlign w:val="center"/>
            <w:tcMar>
              <w:top w:w="100" w:type="dxa"/>
              <w:start w:w="120" w:type="dxa"/>
              <w:bottom w:w="100" w:type="dxa"/>
              <w:end w:w="120" w:type="dxa"/>
            </w:tcMar>
          </w:tcPr>
          <w:p>
            <w:pPr>
              <w:spacing w:after="0"/>
            </w:pPr>
            <w:r>
              <w:rPr>
                <w:sz w:val="18"/>
              </w:rPr>
              <w:t>Checkout, settlement, refunds, product variants, KYC submission, ratings, reporting, and audit events</w:t>
            </w:r>
          </w:p>
        </w:tc>
      </w:tr>
      <w:tr>
        <w:trPr>
          <w:cantSplit/>
        </w:trPr>
        <w:tc>
          <w:tcPr>
            <w:tcW w:type="dxa" w:w="2232"/>
            <w:vAlign w:val="center"/>
            <w:tcMar>
              <w:top w:w="100" w:type="dxa"/>
              <w:start w:w="120" w:type="dxa"/>
              <w:bottom w:w="100" w:type="dxa"/>
              <w:end w:w="120" w:type="dxa"/>
            </w:tcMar>
            <w:shd w:fill="EAF2F8"/>
          </w:tcPr>
          <w:p>
            <w:pPr>
              <w:spacing w:after="0"/>
            </w:pPr>
            <w:r>
              <w:rPr>
                <w:sz w:val="18"/>
              </w:rPr>
              <w:t>Persistence</w:t>
            </w:r>
          </w:p>
        </w:tc>
        <w:tc>
          <w:tcPr>
            <w:tcW w:type="dxa" w:w="7560"/>
            <w:vAlign w:val="center"/>
            <w:tcMar>
              <w:top w:w="100" w:type="dxa"/>
              <w:start w:w="120" w:type="dxa"/>
              <w:bottom w:w="100" w:type="dxa"/>
              <w:end w:w="120" w:type="dxa"/>
            </w:tcMar>
            <w:shd w:fill="EAF2F8"/>
          </w:tcPr>
          <w:p>
            <w:pPr>
              <w:spacing w:after="0"/>
            </w:pPr>
            <w:r>
              <w:rPr>
                <w:sz w:val="18"/>
              </w:rPr>
              <w:t>Synchronous SQLAlchemy sessions, row locks, database constraints, fixed precision money, and bounded pools</w:t>
            </w:r>
          </w:p>
        </w:tc>
      </w:tr>
      <w:tr>
        <w:trPr>
          <w:cantSplit/>
        </w:trPr>
        <w:tc>
          <w:tcPr>
            <w:tcW w:type="dxa" w:w="2232"/>
            <w:vAlign w:val="center"/>
            <w:tcMar>
              <w:top w:w="100" w:type="dxa"/>
              <w:start w:w="120" w:type="dxa"/>
              <w:bottom w:w="100" w:type="dxa"/>
              <w:end w:w="120" w:type="dxa"/>
            </w:tcMar>
          </w:tcPr>
          <w:p>
            <w:pPr>
              <w:spacing w:after="0"/>
            </w:pPr>
            <w:r>
              <w:rPr>
                <w:sz w:val="18"/>
              </w:rPr>
              <w:t>Infrastructure</w:t>
            </w:r>
          </w:p>
        </w:tc>
        <w:tc>
          <w:tcPr>
            <w:tcW w:type="dxa" w:w="7560"/>
            <w:vAlign w:val="center"/>
            <w:tcMar>
              <w:top w:w="100" w:type="dxa"/>
              <w:start w:w="120" w:type="dxa"/>
              <w:bottom w:w="100" w:type="dxa"/>
              <w:end w:w="120" w:type="dxa"/>
            </w:tcMar>
          </w:tcPr>
          <w:p>
            <w:pPr>
              <w:spacing w:after="0"/>
            </w:pPr>
            <w:r>
              <w:rPr>
                <w:sz w:val="18"/>
              </w:rPr>
              <w:t>PostgreSQL, Cloudinary uploads, Google identity verification, SMTP delivery, and Railway deployment</w:t>
            </w:r>
          </w:p>
        </w:tc>
      </w:tr>
    </w:tbl>
    <w:p>
      <w:pPr>
        <w:spacing w:after="0"/>
      </w:pPr>
    </w:p>
    <w:p>
      <w:pPr>
        <w:pStyle w:val="Heading1"/>
      </w:pPr>
      <w:r>
        <w:t>Security and Identity</w:t>
      </w:r>
    </w:p>
    <w:p>
      <w:r>
        <w:t>The backend validates every protected request. Access tokens are short lived and bound to revocable server-side sessions. Refresh secrets rotate, reuse revokes the token family, and password recovery and email verification store only hashed tokens.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376"/>
            <w:vAlign w:val="center"/>
            <w:shd w:fill="1F4E78"/>
            <w:tcMar>
              <w:top w:w="100" w:type="dxa"/>
              <w:start w:w="120" w:type="dxa"/>
              <w:bottom w:w="100" w:type="dxa"/>
              <w:end w:w="120" w:type="dxa"/>
            </w:tcMar>
          </w:tcPr>
          <w:p>
            <w:pPr>
              <w:jc w:val="center"/>
            </w:pPr>
            <w:r>
              <w:rPr>
                <w:b/>
                <w:color w:val="FFFFFF"/>
                <w:sz w:val="18"/>
              </w:rPr>
              <w:t>Guard</w:t>
            </w:r>
          </w:p>
        </w:tc>
        <w:tc>
          <w:tcPr>
            <w:tcW w:type="dxa" w:w="7416"/>
            <w:vAlign w:val="center"/>
            <w:shd w:fill="1F4E78"/>
            <w:tcMar>
              <w:top w:w="100" w:type="dxa"/>
              <w:start w:w="120" w:type="dxa"/>
              <w:bottom w:w="100" w:type="dxa"/>
              <w:end w:w="120" w:type="dxa"/>
            </w:tcMar>
          </w:tcPr>
          <w:p>
            <w:pPr>
              <w:jc w:val="center"/>
            </w:pPr>
            <w:r>
              <w:rPr>
                <w:b/>
                <w:color w:val="FFFFFF"/>
                <w:sz w:val="18"/>
              </w:rPr>
              <w:t>Access</w:t>
            </w:r>
          </w:p>
        </w:tc>
      </w:tr>
      <w:tr>
        <w:trPr>
          <w:cantSplit/>
        </w:trPr>
        <w:tc>
          <w:tcPr>
            <w:tcW w:type="dxa" w:w="2376"/>
            <w:vAlign w:val="center"/>
            <w:tcMar>
              <w:top w:w="100" w:type="dxa"/>
              <w:start w:w="120" w:type="dxa"/>
              <w:bottom w:w="100" w:type="dxa"/>
              <w:end w:w="120" w:type="dxa"/>
            </w:tcMar>
          </w:tcPr>
          <w:p>
            <w:pPr>
              <w:spacing w:after="0"/>
            </w:pPr>
            <w:r>
              <w:rPr>
                <w:sz w:val="18"/>
              </w:rPr>
              <w:t>Active user</w:t>
            </w:r>
          </w:p>
        </w:tc>
        <w:tc>
          <w:tcPr>
            <w:tcW w:type="dxa" w:w="7416"/>
            <w:vAlign w:val="center"/>
            <w:tcMar>
              <w:top w:w="100" w:type="dxa"/>
              <w:start w:w="120" w:type="dxa"/>
              <w:bottom w:w="100" w:type="dxa"/>
              <w:end w:w="120" w:type="dxa"/>
            </w:tcMar>
          </w:tcPr>
          <w:p>
            <w:pPr>
              <w:spacing w:after="0"/>
            </w:pPr>
            <w:r>
              <w:rPr>
                <w:sz w:val="18"/>
              </w:rPr>
              <w:t>Authenticated account that is not disabled</w:t>
            </w:r>
          </w:p>
        </w:tc>
      </w:tr>
      <w:tr>
        <w:trPr>
          <w:cantSplit/>
        </w:trPr>
        <w:tc>
          <w:tcPr>
            <w:tcW w:type="dxa" w:w="2376"/>
            <w:vAlign w:val="center"/>
            <w:tcMar>
              <w:top w:w="100" w:type="dxa"/>
              <w:start w:w="120" w:type="dxa"/>
              <w:bottom w:w="100" w:type="dxa"/>
              <w:end w:w="120" w:type="dxa"/>
            </w:tcMar>
            <w:shd w:fill="EAF2F8"/>
          </w:tcPr>
          <w:p>
            <w:pPr>
              <w:spacing w:after="0"/>
            </w:pPr>
            <w:r>
              <w:rPr>
                <w:sz w:val="18"/>
              </w:rPr>
              <w:t>Buyer</w:t>
            </w:r>
          </w:p>
        </w:tc>
        <w:tc>
          <w:tcPr>
            <w:tcW w:type="dxa" w:w="7416"/>
            <w:vAlign w:val="center"/>
            <w:tcMar>
              <w:top w:w="100" w:type="dxa"/>
              <w:start w:w="120" w:type="dxa"/>
              <w:bottom w:w="100" w:type="dxa"/>
              <w:end w:w="120" w:type="dxa"/>
            </w:tcMar>
            <w:shd w:fill="EAF2F8"/>
          </w:tcPr>
          <w:p>
            <w:pPr>
              <w:spacing w:after="0"/>
            </w:pPr>
            <w:r>
              <w:rPr>
                <w:sz w:val="18"/>
              </w:rPr>
              <w:t>Shopping cart, wishlist, checkout, and buyer-controlled order actions</w:t>
            </w:r>
          </w:p>
        </w:tc>
      </w:tr>
      <w:tr>
        <w:trPr>
          <w:cantSplit/>
        </w:trPr>
        <w:tc>
          <w:tcPr>
            <w:tcW w:type="dxa" w:w="2376"/>
            <w:vAlign w:val="center"/>
            <w:tcMar>
              <w:top w:w="100" w:type="dxa"/>
              <w:start w:w="120" w:type="dxa"/>
              <w:bottom w:w="100" w:type="dxa"/>
              <w:end w:w="120" w:type="dxa"/>
            </w:tcMar>
          </w:tcPr>
          <w:p>
            <w:pPr>
              <w:spacing w:after="0"/>
            </w:pPr>
            <w:r>
              <w:rPr>
                <w:sz w:val="18"/>
              </w:rPr>
              <w:t>Seller</w:t>
            </w:r>
          </w:p>
        </w:tc>
        <w:tc>
          <w:tcPr>
            <w:tcW w:type="dxa" w:w="7416"/>
            <w:vAlign w:val="center"/>
            <w:tcMar>
              <w:top w:w="100" w:type="dxa"/>
              <w:start w:w="120" w:type="dxa"/>
              <w:bottom w:w="100" w:type="dxa"/>
              <w:end w:w="120" w:type="dxa"/>
            </w:tcMar>
          </w:tcPr>
          <w:p>
            <w:pPr>
              <w:spacing w:after="0"/>
            </w:pPr>
            <w:r>
              <w:rPr>
                <w:sz w:val="18"/>
              </w:rPr>
              <w:t>Seller profile and seller-owned operations</w:t>
            </w:r>
          </w:p>
        </w:tc>
      </w:tr>
      <w:tr>
        <w:trPr>
          <w:cantSplit/>
        </w:trPr>
        <w:tc>
          <w:tcPr>
            <w:tcW w:type="dxa" w:w="2376"/>
            <w:vAlign w:val="center"/>
            <w:tcMar>
              <w:top w:w="100" w:type="dxa"/>
              <w:start w:w="120" w:type="dxa"/>
              <w:bottom w:w="100" w:type="dxa"/>
              <w:end w:w="120" w:type="dxa"/>
            </w:tcMar>
            <w:shd w:fill="EAF2F8"/>
          </w:tcPr>
          <w:p>
            <w:pPr>
              <w:spacing w:after="0"/>
            </w:pPr>
            <w:r>
              <w:rPr>
                <w:sz w:val="18"/>
              </w:rPr>
              <w:t>Verified seller</w:t>
            </w:r>
          </w:p>
        </w:tc>
        <w:tc>
          <w:tcPr>
            <w:tcW w:type="dxa" w:w="7416"/>
            <w:vAlign w:val="center"/>
            <w:tcMar>
              <w:top w:w="100" w:type="dxa"/>
              <w:start w:w="120" w:type="dxa"/>
              <w:bottom w:w="100" w:type="dxa"/>
              <w:end w:w="120" w:type="dxa"/>
            </w:tcMar>
            <w:shd w:fill="EAF2F8"/>
          </w:tcPr>
          <w:p>
            <w:pPr>
              <w:spacing w:after="0"/>
            </w:pPr>
            <w:r>
              <w:rPr>
                <w:sz w:val="18"/>
              </w:rPr>
              <w:t>Catalog mutation after approved seller verification</w:t>
            </w:r>
          </w:p>
        </w:tc>
      </w:tr>
      <w:tr>
        <w:trPr>
          <w:cantSplit/>
        </w:trPr>
        <w:tc>
          <w:tcPr>
            <w:tcW w:type="dxa" w:w="2376"/>
            <w:vAlign w:val="center"/>
            <w:tcMar>
              <w:top w:w="100" w:type="dxa"/>
              <w:start w:w="120" w:type="dxa"/>
              <w:bottom w:w="100" w:type="dxa"/>
              <w:end w:w="120" w:type="dxa"/>
            </w:tcMar>
          </w:tcPr>
          <w:p>
            <w:pPr>
              <w:spacing w:after="0"/>
            </w:pPr>
            <w:r>
              <w:rPr>
                <w:sz w:val="18"/>
              </w:rPr>
              <w:t>Administrator</w:t>
            </w:r>
          </w:p>
        </w:tc>
        <w:tc>
          <w:tcPr>
            <w:tcW w:type="dxa" w:w="7416"/>
            <w:vAlign w:val="center"/>
            <w:tcMar>
              <w:top w:w="100" w:type="dxa"/>
              <w:start w:w="120" w:type="dxa"/>
              <w:bottom w:w="100" w:type="dxa"/>
              <w:end w:w="120" w:type="dxa"/>
            </w:tcMar>
          </w:tcPr>
          <w:p>
            <w:pPr>
              <w:spacing w:after="0"/>
            </w:pPr>
            <w:r>
              <w:rPr>
                <w:sz w:val="18"/>
              </w:rPr>
              <w:t>Platform reporting, user controls, support administration, and verification review</w:t>
            </w:r>
          </w:p>
        </w:tc>
      </w:tr>
    </w:tbl>
    <w:p>
      <w:pPr>
        <w:spacing w:after="0"/>
      </w:pPr>
    </w:p>
    <w:p>
      <w:pPr>
        <w:pStyle w:val="Heading2"/>
      </w:pPr>
      <w:r>
        <w:t>Configuration Rules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952"/>
            <w:vAlign w:val="center"/>
            <w:shd w:fill="1F4E78"/>
            <w:tcMar>
              <w:top w:w="100" w:type="dxa"/>
              <w:start w:w="120" w:type="dxa"/>
              <w:bottom w:w="100" w:type="dxa"/>
              <w:end w:w="120" w:type="dxa"/>
            </w:tcMar>
          </w:tcPr>
          <w:p>
            <w:pPr>
              <w:jc w:val="center"/>
            </w:pPr>
            <w:r>
              <w:rPr>
                <w:b/>
                <w:color w:val="FFFFFF"/>
                <w:sz w:val="18"/>
              </w:rPr>
              <w:t>Setting</w:t>
            </w:r>
          </w:p>
        </w:tc>
        <w:tc>
          <w:tcPr>
            <w:tcW w:type="dxa" w:w="6840"/>
            <w:vAlign w:val="center"/>
            <w:shd w:fill="1F4E78"/>
            <w:tcMar>
              <w:top w:w="100" w:type="dxa"/>
              <w:start w:w="120" w:type="dxa"/>
              <w:bottom w:w="100" w:type="dxa"/>
              <w:end w:w="120" w:type="dxa"/>
            </w:tcMar>
          </w:tcPr>
          <w:p>
            <w:pPr>
              <w:jc w:val="center"/>
            </w:pPr>
            <w:r>
              <w:rPr>
                <w:b/>
                <w:color w:val="FFFFFF"/>
                <w:sz w:val="18"/>
              </w:rPr>
              <w:t>Requirement</w:t>
            </w:r>
          </w:p>
        </w:tc>
      </w:tr>
      <w:tr>
        <w:trPr>
          <w:cantSplit/>
        </w:trPr>
        <w:tc>
          <w:tcPr>
            <w:tcW w:type="dxa" w:w="2952"/>
            <w:vAlign w:val="center"/>
            <w:tcMar>
              <w:top w:w="100" w:type="dxa"/>
              <w:start w:w="120" w:type="dxa"/>
              <w:bottom w:w="100" w:type="dxa"/>
              <w:end w:w="120" w:type="dxa"/>
            </w:tcMar>
          </w:tcPr>
          <w:p>
            <w:pPr>
              <w:spacing w:after="0"/>
            </w:pPr>
            <w:r>
              <w:rPr>
                <w:sz w:val="18"/>
              </w:rPr>
              <w:t>DATABASE_URL</w:t>
            </w:r>
          </w:p>
        </w:tc>
        <w:tc>
          <w:tcPr>
            <w:tcW w:type="dxa" w:w="6840"/>
            <w:vAlign w:val="center"/>
            <w:tcMar>
              <w:top w:w="100" w:type="dxa"/>
              <w:start w:w="120" w:type="dxa"/>
              <w:bottom w:w="100" w:type="dxa"/>
              <w:end w:w="120" w:type="dxa"/>
            </w:tcMar>
          </w:tcPr>
          <w:p>
            <w:pPr>
              <w:spacing w:after="0"/>
            </w:pPr>
            <w:r>
              <w:rPr>
                <w:sz w:val="18"/>
              </w:rPr>
              <w:t>Required PostgreSQL connection URL</w:t>
            </w:r>
          </w:p>
        </w:tc>
      </w:tr>
      <w:tr>
        <w:trPr>
          <w:cantSplit/>
        </w:trPr>
        <w:tc>
          <w:tcPr>
            <w:tcW w:type="dxa" w:w="2952"/>
            <w:vAlign w:val="center"/>
            <w:tcMar>
              <w:top w:w="100" w:type="dxa"/>
              <w:start w:w="120" w:type="dxa"/>
              <w:bottom w:w="100" w:type="dxa"/>
              <w:end w:w="120" w:type="dxa"/>
            </w:tcMar>
            <w:shd w:fill="EAF2F8"/>
          </w:tcPr>
          <w:p>
            <w:pPr>
              <w:spacing w:after="0"/>
            </w:pPr>
            <w:r>
              <w:rPr>
                <w:sz w:val="18"/>
              </w:rPr>
              <w:t>SECRET_KEY</w:t>
            </w:r>
          </w:p>
        </w:tc>
        <w:tc>
          <w:tcPr>
            <w:tcW w:type="dxa" w:w="6840"/>
            <w:vAlign w:val="center"/>
            <w:tcMar>
              <w:top w:w="100" w:type="dxa"/>
              <w:start w:w="120" w:type="dxa"/>
              <w:bottom w:w="100" w:type="dxa"/>
              <w:end w:w="120" w:type="dxa"/>
            </w:tcMar>
            <w:shd w:fill="EAF2F8"/>
          </w:tcPr>
          <w:p>
            <w:pPr>
              <w:spacing w:after="0"/>
            </w:pPr>
            <w:r>
              <w:rPr>
                <w:sz w:val="18"/>
              </w:rPr>
              <w:t>Required unique signing secret with at least 32 characters</w:t>
            </w:r>
          </w:p>
        </w:tc>
      </w:tr>
      <w:tr>
        <w:trPr>
          <w:cantSplit/>
        </w:trPr>
        <w:tc>
          <w:tcPr>
            <w:tcW w:type="dxa" w:w="2952"/>
            <w:vAlign w:val="center"/>
            <w:tcMar>
              <w:top w:w="100" w:type="dxa"/>
              <w:start w:w="120" w:type="dxa"/>
              <w:bottom w:w="100" w:type="dxa"/>
              <w:end w:w="120" w:type="dxa"/>
            </w:tcMar>
          </w:tcPr>
          <w:p>
            <w:pPr>
              <w:spacing w:after="0"/>
            </w:pPr>
            <w:r>
              <w:rPr>
                <w:sz w:val="18"/>
              </w:rPr>
              <w:t>ALLOWED_ORIGINS</w:t>
            </w:r>
          </w:p>
        </w:tc>
        <w:tc>
          <w:tcPr>
            <w:tcW w:type="dxa" w:w="6840"/>
            <w:vAlign w:val="center"/>
            <w:tcMar>
              <w:top w:w="100" w:type="dxa"/>
              <w:start w:w="120" w:type="dxa"/>
              <w:bottom w:w="100" w:type="dxa"/>
              <w:end w:w="120" w:type="dxa"/>
            </w:tcMar>
          </w:tcPr>
          <w:p>
            <w:pPr>
              <w:spacing w:after="0"/>
            </w:pPr>
            <w:r>
              <w:rPr>
                <w:sz w:val="18"/>
              </w:rPr>
              <w:t>Explicit browser origins; wildcard origins are rejected in production</w:t>
            </w:r>
          </w:p>
        </w:tc>
      </w:tr>
      <w:tr>
        <w:trPr>
          <w:cantSplit/>
        </w:trPr>
        <w:tc>
          <w:tcPr>
            <w:tcW w:type="dxa" w:w="2952"/>
            <w:vAlign w:val="center"/>
            <w:tcMar>
              <w:top w:w="100" w:type="dxa"/>
              <w:start w:w="120" w:type="dxa"/>
              <w:bottom w:w="100" w:type="dxa"/>
              <w:end w:w="120" w:type="dxa"/>
            </w:tcMar>
            <w:shd w:fill="EAF2F8"/>
          </w:tcPr>
          <w:p>
            <w:pPr>
              <w:spacing w:after="0"/>
            </w:pPr>
            <w:r>
              <w:rPr>
                <w:sz w:val="18"/>
              </w:rPr>
              <w:t>APP_ENV</w:t>
            </w:r>
          </w:p>
        </w:tc>
        <w:tc>
          <w:tcPr>
            <w:tcW w:type="dxa" w:w="6840"/>
            <w:vAlign w:val="center"/>
            <w:tcMar>
              <w:top w:w="100" w:type="dxa"/>
              <w:start w:w="120" w:type="dxa"/>
              <w:bottom w:w="100" w:type="dxa"/>
              <w:end w:w="120" w:type="dxa"/>
            </w:tcMar>
            <w:shd w:fill="EAF2F8"/>
          </w:tcPr>
          <w:p>
            <w:pPr>
              <w:spacing w:after="0"/>
            </w:pPr>
            <w:r>
              <w:rPr>
                <w:sz w:val="18"/>
              </w:rPr>
              <w:t>Set to production for production security behavior</w:t>
            </w:r>
          </w:p>
        </w:tc>
      </w:tr>
      <w:tr>
        <w:trPr>
          <w:cantSplit/>
        </w:trPr>
        <w:tc>
          <w:tcPr>
            <w:tcW w:type="dxa" w:w="2952"/>
            <w:vAlign w:val="center"/>
            <w:tcMar>
              <w:top w:w="100" w:type="dxa"/>
              <w:start w:w="120" w:type="dxa"/>
              <w:bottom w:w="100" w:type="dxa"/>
              <w:end w:w="120" w:type="dxa"/>
            </w:tcMar>
          </w:tcPr>
          <w:p>
            <w:pPr>
              <w:spacing w:after="0"/>
            </w:pPr>
            <w:r>
              <w:rPr>
                <w:sz w:val="18"/>
              </w:rPr>
              <w:t>ENABLE_API_DOCS</w:t>
            </w:r>
          </w:p>
        </w:tc>
        <w:tc>
          <w:tcPr>
            <w:tcW w:type="dxa" w:w="6840"/>
            <w:vAlign w:val="center"/>
            <w:tcMar>
              <w:top w:w="100" w:type="dxa"/>
              <w:start w:w="120" w:type="dxa"/>
              <w:bottom w:w="100" w:type="dxa"/>
              <w:end w:w="120" w:type="dxa"/>
            </w:tcMar>
          </w:tcPr>
          <w:p>
            <w:pPr>
              <w:spacing w:after="0"/>
            </w:pPr>
            <w:r>
              <w:rPr>
                <w:sz w:val="18"/>
              </w:rPr>
              <w:t>Enable only in a controlled non-production environment</w:t>
            </w:r>
          </w:p>
        </w:tc>
      </w:tr>
      <w:tr>
        <w:trPr>
          <w:cantSplit/>
        </w:trPr>
        <w:tc>
          <w:tcPr>
            <w:tcW w:type="dxa" w:w="2952"/>
            <w:vAlign w:val="center"/>
            <w:tcMar>
              <w:top w:w="100" w:type="dxa"/>
              <w:start w:w="120" w:type="dxa"/>
              <w:bottom w:w="100" w:type="dxa"/>
              <w:end w:w="120" w:type="dxa"/>
            </w:tcMar>
            <w:shd w:fill="EAF2F8"/>
          </w:tcPr>
          <w:p>
            <w:pPr>
              <w:spacing w:after="0"/>
            </w:pPr>
            <w:r>
              <w:rPr>
                <w:sz w:val="18"/>
              </w:rPr>
              <w:t>SMTP settings</w:t>
            </w:r>
          </w:p>
        </w:tc>
        <w:tc>
          <w:tcPr>
            <w:tcW w:type="dxa" w:w="6840"/>
            <w:vAlign w:val="center"/>
            <w:tcMar>
              <w:top w:w="100" w:type="dxa"/>
              <w:start w:w="120" w:type="dxa"/>
              <w:bottom w:w="100" w:type="dxa"/>
              <w:end w:w="120" w:type="dxa"/>
            </w:tcMar>
            <w:shd w:fill="EAF2F8"/>
          </w:tcPr>
          <w:p>
            <w:pPr>
              <w:spacing w:after="0"/>
            </w:pPr>
            <w:r>
              <w:rPr>
                <w:sz w:val="18"/>
              </w:rPr>
              <w:t>Required before email verification and password recovery can deliver messages</w:t>
            </w:r>
          </w:p>
        </w:tc>
      </w:tr>
      <w:tr>
        <w:trPr>
          <w:cantSplit/>
        </w:trPr>
        <w:tc>
          <w:tcPr>
            <w:tcW w:type="dxa" w:w="2952"/>
            <w:vAlign w:val="center"/>
            <w:tcMar>
              <w:top w:w="100" w:type="dxa"/>
              <w:start w:w="120" w:type="dxa"/>
              <w:bottom w:w="100" w:type="dxa"/>
              <w:end w:w="120" w:type="dxa"/>
            </w:tcMar>
          </w:tcPr>
          <w:p>
            <w:pPr>
              <w:spacing w:after="0"/>
            </w:pPr>
            <w:r>
              <w:rPr>
                <w:sz w:val="18"/>
              </w:rPr>
              <w:t>GOOGLE_CLIENT_ID</w:t>
            </w:r>
          </w:p>
        </w:tc>
        <w:tc>
          <w:tcPr>
            <w:tcW w:type="dxa" w:w="6840"/>
            <w:vAlign w:val="center"/>
            <w:tcMar>
              <w:top w:w="100" w:type="dxa"/>
              <w:start w:w="120" w:type="dxa"/>
              <w:bottom w:w="100" w:type="dxa"/>
              <w:end w:w="120" w:type="dxa"/>
            </w:tcMar>
          </w:tcPr>
          <w:p>
            <w:pPr>
              <w:spacing w:after="0"/>
            </w:pPr>
            <w:r>
              <w:rPr>
                <w:sz w:val="18"/>
              </w:rPr>
              <w:t>Required when Google sign in is enabled</w:t>
            </w:r>
          </w:p>
        </w:tc>
      </w:tr>
      <w:tr>
        <w:trPr>
          <w:cantSplit/>
        </w:trPr>
        <w:tc>
          <w:tcPr>
            <w:tcW w:type="dxa" w:w="2952"/>
            <w:vAlign w:val="center"/>
            <w:tcMar>
              <w:top w:w="100" w:type="dxa"/>
              <w:start w:w="120" w:type="dxa"/>
              <w:bottom w:w="100" w:type="dxa"/>
              <w:end w:w="120" w:type="dxa"/>
            </w:tcMar>
            <w:shd w:fill="EAF2F8"/>
          </w:tcPr>
          <w:p>
            <w:pPr>
              <w:spacing w:after="0"/>
            </w:pPr>
            <w:r>
              <w:rPr>
                <w:sz w:val="18"/>
              </w:rPr>
              <w:t>Cloudinary settings</w:t>
            </w:r>
          </w:p>
        </w:tc>
        <w:tc>
          <w:tcPr>
            <w:tcW w:type="dxa" w:w="6840"/>
            <w:vAlign w:val="center"/>
            <w:tcMar>
              <w:top w:w="100" w:type="dxa"/>
              <w:start w:w="120" w:type="dxa"/>
              <w:bottom w:w="100" w:type="dxa"/>
              <w:end w:w="120" w:type="dxa"/>
            </w:tcMar>
            <w:shd w:fill="EAF2F8"/>
          </w:tcPr>
          <w:p>
            <w:pPr>
              <w:spacing w:after="0"/>
            </w:pPr>
            <w:r>
              <w:rPr>
                <w:sz w:val="18"/>
              </w:rPr>
              <w:t>Required for hosted image upload</w:t>
            </w:r>
          </w:p>
        </w:tc>
      </w:tr>
    </w:tbl>
    <w:p>
      <w:pPr>
        <w:spacing w:after="0"/>
      </w:pPr>
    </w:p>
    <w:p>
      <w:pPr>
        <w:pStyle w:val="Heading2"/>
      </w:pPr>
      <w:r>
        <w:t>HTTP Safety</w:t>
      </w:r>
    </w:p>
    <w:p>
      <w:pPr>
        <w:pStyle w:val="ListBullet"/>
        <w:spacing w:after="60"/>
      </w:pPr>
      <w:r>
        <w:t>Production API documentation is disabled unless explicitly enabled.</w:t>
      </w:r>
    </w:p>
    <w:p>
      <w:pPr>
        <w:pStyle w:val="ListBullet"/>
        <w:spacing w:after="60"/>
      </w:pPr>
      <w:r>
        <w:t>Global exception responses hide internal details and carry a request identifier.</w:t>
      </w:r>
    </w:p>
    <w:p>
      <w:pPr>
        <w:pStyle w:val="ListBullet"/>
        <w:spacing w:after="60"/>
      </w:pPr>
      <w:r>
        <w:t>Media fetching blocks private and unsafe destinations, while uploads are size and type bounded.</w:t>
      </w:r>
    </w:p>
    <w:p>
      <w:pPr>
        <w:pStyle w:val="ListBullet"/>
        <w:spacing w:after="60"/>
      </w:pPr>
      <w:r>
        <w:t>Sensitive state changes create append-only operational audit events.</w:t>
      </w:r>
    </w:p>
    <w:p>
      <w:pPr>
        <w:pStyle w:val="Heading1"/>
      </w:pPr>
      <w:r>
        <w:t>Database Design</w:t>
      </w:r>
    </w:p>
    <w:p>
      <w:r>
        <w:t>PostgreSQL stores UUID keyed records with timezone-aware timestamps. Monetary columns use NUMERIC with two decimal places. Database constraints enforce nonnegative balances and totals, quantity rules, uniqueness, relationship integrity, and one pending seller verification request per seller.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232"/>
            <w:vAlign w:val="center"/>
            <w:shd w:fill="1F4E78"/>
            <w:tcMar>
              <w:top w:w="100" w:type="dxa"/>
              <w:start w:w="120" w:type="dxa"/>
              <w:bottom w:w="100" w:type="dxa"/>
              <w:end w:w="120" w:type="dxa"/>
            </w:tcMar>
          </w:tcPr>
          <w:p>
            <w:pPr>
              <w:jc w:val="center"/>
            </w:pPr>
            <w:r>
              <w:rPr>
                <w:b/>
                <w:color w:val="FFFFFF"/>
                <w:sz w:val="18"/>
              </w:rPr>
              <w:t>Domain</w:t>
            </w:r>
          </w:p>
        </w:tc>
        <w:tc>
          <w:tcPr>
            <w:tcW w:type="dxa" w:w="7560"/>
            <w:vAlign w:val="center"/>
            <w:shd w:fill="1F4E78"/>
            <w:tcMar>
              <w:top w:w="100" w:type="dxa"/>
              <w:start w:w="120" w:type="dxa"/>
              <w:bottom w:w="100" w:type="dxa"/>
              <w:end w:w="120" w:type="dxa"/>
            </w:tcMar>
          </w:tcPr>
          <w:p>
            <w:pPr>
              <w:jc w:val="center"/>
            </w:pPr>
            <w:r>
              <w:rPr>
                <w:b/>
                <w:color w:val="FFFFFF"/>
                <w:sz w:val="18"/>
              </w:rPr>
              <w:t>Primary records</w:t>
            </w:r>
          </w:p>
        </w:tc>
      </w:tr>
      <w:tr>
        <w:trPr>
          <w:cantSplit/>
        </w:trPr>
        <w:tc>
          <w:tcPr>
            <w:tcW w:type="dxa" w:w="2232"/>
            <w:vAlign w:val="center"/>
            <w:tcMar>
              <w:top w:w="100" w:type="dxa"/>
              <w:start w:w="120" w:type="dxa"/>
              <w:bottom w:w="100" w:type="dxa"/>
              <w:end w:w="120" w:type="dxa"/>
            </w:tcMar>
          </w:tcPr>
          <w:p>
            <w:pPr>
              <w:spacing w:after="0"/>
            </w:pPr>
            <w:r>
              <w:rPr>
                <w:sz w:val="18"/>
              </w:rPr>
              <w:t>Identity</w:t>
            </w:r>
          </w:p>
        </w:tc>
        <w:tc>
          <w:tcPr>
            <w:tcW w:type="dxa" w:w="7560"/>
            <w:vAlign w:val="center"/>
            <w:tcMar>
              <w:top w:w="100" w:type="dxa"/>
              <w:start w:w="120" w:type="dxa"/>
              <w:bottom w:w="100" w:type="dxa"/>
              <w:end w:w="120" w:type="dxa"/>
            </w:tcMar>
          </w:tcPr>
          <w:p>
            <w:pPr>
              <w:spacing w:after="0"/>
            </w:pPr>
            <w:r>
              <w:rPr>
                <w:sz w:val="18"/>
              </w:rPr>
              <w:t>users, auth_sessions, refresh_tokens, action_tokens, auth_rate_limits, user_addresses</w:t>
            </w:r>
          </w:p>
        </w:tc>
      </w:tr>
      <w:tr>
        <w:trPr>
          <w:cantSplit/>
        </w:trPr>
        <w:tc>
          <w:tcPr>
            <w:tcW w:type="dxa" w:w="2232"/>
            <w:vAlign w:val="center"/>
            <w:tcMar>
              <w:top w:w="100" w:type="dxa"/>
              <w:start w:w="120" w:type="dxa"/>
              <w:bottom w:w="100" w:type="dxa"/>
              <w:end w:w="120" w:type="dxa"/>
            </w:tcMar>
            <w:shd w:fill="EAF2F8"/>
          </w:tcPr>
          <w:p>
            <w:pPr>
              <w:spacing w:after="0"/>
            </w:pPr>
            <w:r>
              <w:rPr>
                <w:sz w:val="18"/>
              </w:rPr>
              <w:t>Seller onboarding</w:t>
            </w:r>
          </w:p>
        </w:tc>
        <w:tc>
          <w:tcPr>
            <w:tcW w:type="dxa" w:w="7560"/>
            <w:vAlign w:val="center"/>
            <w:tcMar>
              <w:top w:w="100" w:type="dxa"/>
              <w:start w:w="120" w:type="dxa"/>
              <w:bottom w:w="100" w:type="dxa"/>
              <w:end w:w="120" w:type="dxa"/>
            </w:tcMar>
            <w:shd w:fill="EAF2F8"/>
          </w:tcPr>
          <w:p>
            <w:pPr>
              <w:spacing w:after="0"/>
            </w:pPr>
            <w:r>
              <w:rPr>
                <w:sz w:val="18"/>
              </w:rPr>
              <w:t>seller_profiles and seller_verification_requests</w:t>
            </w:r>
          </w:p>
        </w:tc>
      </w:tr>
      <w:tr>
        <w:trPr>
          <w:cantSplit/>
        </w:trPr>
        <w:tc>
          <w:tcPr>
            <w:tcW w:type="dxa" w:w="2232"/>
            <w:vAlign w:val="center"/>
            <w:tcMar>
              <w:top w:w="100" w:type="dxa"/>
              <w:start w:w="120" w:type="dxa"/>
              <w:bottom w:w="100" w:type="dxa"/>
              <w:end w:w="120" w:type="dxa"/>
            </w:tcMar>
          </w:tcPr>
          <w:p>
            <w:pPr>
              <w:spacing w:after="0"/>
            </w:pPr>
            <w:r>
              <w:rPr>
                <w:sz w:val="18"/>
              </w:rPr>
              <w:t>Catalog</w:t>
            </w:r>
          </w:p>
        </w:tc>
        <w:tc>
          <w:tcPr>
            <w:tcW w:type="dxa" w:w="7560"/>
            <w:vAlign w:val="center"/>
            <w:tcMar>
              <w:top w:w="100" w:type="dxa"/>
              <w:start w:w="120" w:type="dxa"/>
              <w:bottom w:w="100" w:type="dxa"/>
              <w:end w:w="120" w:type="dxa"/>
            </w:tcMar>
          </w:tcPr>
          <w:p>
            <w:pPr>
              <w:spacing w:after="0"/>
            </w:pPr>
            <w:r>
              <w:rPr>
                <w:sz w:val="18"/>
              </w:rPr>
              <w:t>categories, products, product_images, media_assets, product_variants, product_tags, verification_logs</w:t>
            </w:r>
          </w:p>
        </w:tc>
      </w:tr>
      <w:tr>
        <w:trPr>
          <w:cantSplit/>
        </w:trPr>
        <w:tc>
          <w:tcPr>
            <w:tcW w:type="dxa" w:w="2232"/>
            <w:vAlign w:val="center"/>
            <w:tcMar>
              <w:top w:w="100" w:type="dxa"/>
              <w:start w:w="120" w:type="dxa"/>
              <w:bottom w:w="100" w:type="dxa"/>
              <w:end w:w="120" w:type="dxa"/>
            </w:tcMar>
            <w:shd w:fill="EAF2F8"/>
          </w:tcPr>
          <w:p>
            <w:pPr>
              <w:spacing w:after="0"/>
            </w:pPr>
            <w:r>
              <w:rPr>
                <w:sz w:val="18"/>
              </w:rPr>
              <w:t>Shopping</w:t>
            </w:r>
          </w:p>
        </w:tc>
        <w:tc>
          <w:tcPr>
            <w:tcW w:type="dxa" w:w="7560"/>
            <w:vAlign w:val="center"/>
            <w:tcMar>
              <w:top w:w="100" w:type="dxa"/>
              <w:start w:w="120" w:type="dxa"/>
              <w:bottom w:w="100" w:type="dxa"/>
              <w:end w:w="120" w:type="dxa"/>
            </w:tcMar>
            <w:shd w:fill="EAF2F8"/>
          </w:tcPr>
          <w:p>
            <w:pPr>
              <w:spacing w:after="0"/>
            </w:pPr>
            <w:r>
              <w:rPr>
                <w:sz w:val="18"/>
              </w:rPr>
              <w:t>cart_sessions, cart_items, and wishlist_items</w:t>
            </w:r>
          </w:p>
        </w:tc>
      </w:tr>
      <w:tr>
        <w:trPr>
          <w:cantSplit/>
        </w:trPr>
        <w:tc>
          <w:tcPr>
            <w:tcW w:type="dxa" w:w="2232"/>
            <w:vAlign w:val="center"/>
            <w:tcMar>
              <w:top w:w="100" w:type="dxa"/>
              <w:start w:w="120" w:type="dxa"/>
              <w:bottom w:w="100" w:type="dxa"/>
              <w:end w:w="120" w:type="dxa"/>
            </w:tcMar>
          </w:tcPr>
          <w:p>
            <w:pPr>
              <w:spacing w:after="0"/>
            </w:pPr>
            <w:r>
              <w:rPr>
                <w:sz w:val="18"/>
              </w:rPr>
              <w:t>Orders</w:t>
            </w:r>
          </w:p>
        </w:tc>
        <w:tc>
          <w:tcPr>
            <w:tcW w:type="dxa" w:w="7560"/>
            <w:vAlign w:val="center"/>
            <w:tcMar>
              <w:top w:w="100" w:type="dxa"/>
              <w:start w:w="120" w:type="dxa"/>
              <w:bottom w:w="100" w:type="dxa"/>
              <w:end w:w="120" w:type="dxa"/>
            </w:tcMar>
          </w:tcPr>
          <w:p>
            <w:pPr>
              <w:spacing w:after="0"/>
            </w:pPr>
            <w:r>
              <w:rPr>
                <w:sz w:val="18"/>
              </w:rPr>
              <w:t>checkout_orders, seller_orders, order_items, order_payments, and order_status_history</w:t>
            </w:r>
          </w:p>
        </w:tc>
      </w:tr>
      <w:tr>
        <w:trPr>
          <w:cantSplit/>
        </w:trPr>
        <w:tc>
          <w:tcPr>
            <w:tcW w:type="dxa" w:w="2232"/>
            <w:vAlign w:val="center"/>
            <w:tcMar>
              <w:top w:w="100" w:type="dxa"/>
              <w:start w:w="120" w:type="dxa"/>
              <w:bottom w:w="100" w:type="dxa"/>
              <w:end w:w="120" w:type="dxa"/>
            </w:tcMar>
            <w:shd w:fill="EAF2F8"/>
          </w:tcPr>
          <w:p>
            <w:pPr>
              <w:spacing w:after="0"/>
            </w:pPr>
            <w:r>
              <w:rPr>
                <w:sz w:val="18"/>
              </w:rPr>
              <w:t>Accounting</w:t>
            </w:r>
          </w:p>
        </w:tc>
        <w:tc>
          <w:tcPr>
            <w:tcW w:type="dxa" w:w="7560"/>
            <w:vAlign w:val="center"/>
            <w:tcMar>
              <w:top w:w="100" w:type="dxa"/>
              <w:start w:w="120" w:type="dxa"/>
              <w:bottom w:w="100" w:type="dxa"/>
              <w:end w:w="120" w:type="dxa"/>
            </w:tcMar>
            <w:shd w:fill="EAF2F8"/>
          </w:tcPr>
          <w:p>
            <w:pPr>
              <w:spacing w:after="0"/>
            </w:pPr>
            <w:r>
              <w:rPr>
                <w:sz w:val="18"/>
              </w:rPr>
              <w:t>wallets, transactions, ledger_accounts, ledger_entries, and ledger_lines</w:t>
            </w:r>
          </w:p>
        </w:tc>
      </w:tr>
      <w:tr>
        <w:trPr>
          <w:cantSplit/>
        </w:trPr>
        <w:tc>
          <w:tcPr>
            <w:tcW w:type="dxa" w:w="2232"/>
            <w:vAlign w:val="center"/>
            <w:tcMar>
              <w:top w:w="100" w:type="dxa"/>
              <w:start w:w="120" w:type="dxa"/>
              <w:bottom w:w="100" w:type="dxa"/>
              <w:end w:w="120" w:type="dxa"/>
            </w:tcMar>
          </w:tcPr>
          <w:p>
            <w:pPr>
              <w:spacing w:after="0"/>
            </w:pPr>
            <w:r>
              <w:rPr>
                <w:sz w:val="18"/>
              </w:rPr>
              <w:t>Trust and operations</w:t>
            </w:r>
          </w:p>
        </w:tc>
        <w:tc>
          <w:tcPr>
            <w:tcW w:type="dxa" w:w="7560"/>
            <w:vAlign w:val="center"/>
            <w:tcMar>
              <w:top w:w="100" w:type="dxa"/>
              <w:start w:w="120" w:type="dxa"/>
              <w:bottom w:w="100" w:type="dxa"/>
              <w:end w:w="120" w:type="dxa"/>
            </w:tcMar>
          </w:tcPr>
          <w:p>
            <w:pPr>
              <w:spacing w:after="0"/>
            </w:pPr>
            <w:r>
              <w:rPr>
                <w:sz w:val="18"/>
              </w:rPr>
              <w:t>reviews, messages, notifications, support_tickets, and audit_events</w:t>
            </w:r>
          </w:p>
        </w:tc>
      </w:tr>
    </w:tbl>
    <w:p>
      <w:pPr>
        <w:spacing w:after="0"/>
      </w:pPr>
    </w:p>
    <w:p>
      <w:pPr>
        <w:pStyle w:val="Heading1"/>
      </w:pPr>
      <w:r>
        <w:t>Catalog and Inventory</w:t>
      </w:r>
    </w:p>
    <w:p>
      <w:r>
        <w:t>Products belong to a seller and optionally a category. Images, variants, and tags are relational records. A variant has stable identity, attributes, price adjustment, stock, and an active state. Updates archive referenced variants instead of deleting them.</w:t>
      </w:r>
    </w:p>
    <w:p>
      <w:pPr>
        <w:pStyle w:val="ListBullet"/>
        <w:spacing w:after="60"/>
      </w:pPr>
      <w:r>
        <w:t>Public product search uses PostgreSQL trigram indexes for name, description, and brand.</w:t>
      </w:r>
    </w:p>
    <w:p>
      <w:pPr>
        <w:pStyle w:val="ListBullet"/>
        <w:spacing w:after="60"/>
      </w:pPr>
      <w:r>
        <w:t>Product mutations remain server owned; clients cannot self-assert AI verification.</w:t>
      </w:r>
    </w:p>
    <w:p>
      <w:pPr>
        <w:pStyle w:val="ListBullet"/>
        <w:spacing w:after="60"/>
      </w:pPr>
      <w:r>
        <w:t>Soft deleted products and unavailable variants are rejected during checkout.</w:t>
      </w:r>
    </w:p>
    <w:p>
      <w:pPr>
        <w:pStyle w:val="ListBullet"/>
        <w:spacing w:after="60"/>
      </w:pPr>
      <w:r>
        <w:t>Inventory decrements occur under row locks after quantities are aggregated by variant.</w:t>
      </w:r>
    </w:p>
    <w:p>
      <w:pPr>
        <w:pStyle w:val="ListBullet"/>
        <w:spacing w:after="60"/>
      </w:pPr>
      <w:r>
        <w:t>Uploaded product images must resolve to a pending media asset owned by the same seller.</w:t>
      </w:r>
    </w:p>
    <w:p>
      <w:pPr>
        <w:pStyle w:val="ListBullet"/>
        <w:spacing w:after="60"/>
      </w:pPr>
      <w:r>
        <w:t>Unattached uploads expire after 24 hours; soft deleted product media is retained for 30 days before provider cleanup.</w:t>
      </w:r>
    </w:p>
    <w:p>
      <w:pPr>
        <w:pStyle w:val="Heading1"/>
      </w:pPr>
      <w:r>
        <w:t>Checkout and Orders</w:t>
      </w:r>
    </w:p>
    <w:p>
      <w:r>
        <w:t>One buyer checkout creates a CheckoutOrder and one SellerOrder for each seller represented in the cart. Each seller order contains immutable OrderItem snapshots so later catalog edits cannot change purchase history. The checkout request requires a buyer-scoped Idempotency-Key.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376"/>
            <w:vAlign w:val="center"/>
            <w:shd w:fill="1F4E78"/>
            <w:tcMar>
              <w:top w:w="100" w:type="dxa"/>
              <w:start w:w="120" w:type="dxa"/>
              <w:bottom w:w="100" w:type="dxa"/>
              <w:end w:w="120" w:type="dxa"/>
            </w:tcMar>
          </w:tcPr>
          <w:p>
            <w:pPr>
              <w:jc w:val="center"/>
            </w:pPr>
            <w:r>
              <w:rPr>
                <w:b/>
                <w:color w:val="FFFFFF"/>
                <w:sz w:val="18"/>
              </w:rPr>
              <w:t>Amount</w:t>
            </w:r>
          </w:p>
        </w:tc>
        <w:tc>
          <w:tcPr>
            <w:tcW w:type="dxa" w:w="7416"/>
            <w:vAlign w:val="center"/>
            <w:shd w:fill="1F4E78"/>
            <w:tcMar>
              <w:top w:w="100" w:type="dxa"/>
              <w:start w:w="120" w:type="dxa"/>
              <w:bottom w:w="100" w:type="dxa"/>
              <w:end w:w="120" w:type="dxa"/>
            </w:tcMar>
          </w:tcPr>
          <w:p>
            <w:pPr>
              <w:jc w:val="center"/>
            </w:pPr>
            <w:r>
              <w:rPr>
                <w:b/>
                <w:color w:val="FFFFFF"/>
                <w:sz w:val="18"/>
              </w:rPr>
              <w:t>Current rule</w:t>
            </w:r>
          </w:p>
        </w:tc>
      </w:tr>
      <w:tr>
        <w:trPr>
          <w:cantSplit/>
        </w:trPr>
        <w:tc>
          <w:tcPr>
            <w:tcW w:type="dxa" w:w="2376"/>
            <w:vAlign w:val="center"/>
            <w:tcMar>
              <w:top w:w="100" w:type="dxa"/>
              <w:start w:w="120" w:type="dxa"/>
              <w:bottom w:w="100" w:type="dxa"/>
              <w:end w:w="120" w:type="dxa"/>
            </w:tcMar>
          </w:tcPr>
          <w:p>
            <w:pPr>
              <w:spacing w:after="0"/>
            </w:pPr>
            <w:r>
              <w:rPr>
                <w:sz w:val="18"/>
              </w:rPr>
              <w:t>Item price</w:t>
            </w:r>
          </w:p>
        </w:tc>
        <w:tc>
          <w:tcPr>
            <w:tcW w:type="dxa" w:w="7416"/>
            <w:vAlign w:val="center"/>
            <w:tcMar>
              <w:top w:w="100" w:type="dxa"/>
              <w:start w:w="120" w:type="dxa"/>
              <w:bottom w:w="100" w:type="dxa"/>
              <w:end w:w="120" w:type="dxa"/>
            </w:tcMar>
          </w:tcPr>
          <w:p>
            <w:pPr>
              <w:spacing w:after="0"/>
            </w:pPr>
            <w:r>
              <w:rPr>
                <w:sz w:val="18"/>
              </w:rPr>
              <w:t>Product price plus the selected variant adjustment at purchase time</w:t>
            </w:r>
          </w:p>
        </w:tc>
      </w:tr>
      <w:tr>
        <w:trPr>
          <w:cantSplit/>
        </w:trPr>
        <w:tc>
          <w:tcPr>
            <w:tcW w:type="dxa" w:w="2376"/>
            <w:vAlign w:val="center"/>
            <w:tcMar>
              <w:top w:w="100" w:type="dxa"/>
              <w:start w:w="120" w:type="dxa"/>
              <w:bottom w:w="100" w:type="dxa"/>
              <w:end w:w="120" w:type="dxa"/>
            </w:tcMar>
            <w:shd w:fill="EAF2F8"/>
          </w:tcPr>
          <w:p>
            <w:pPr>
              <w:spacing w:after="0"/>
            </w:pPr>
            <w:r>
              <w:rPr>
                <w:sz w:val="18"/>
              </w:rPr>
              <w:t>Platform fee</w:t>
            </w:r>
          </w:p>
        </w:tc>
        <w:tc>
          <w:tcPr>
            <w:tcW w:type="dxa" w:w="7416"/>
            <w:vAlign w:val="center"/>
            <w:tcMar>
              <w:top w:w="100" w:type="dxa"/>
              <w:start w:w="120" w:type="dxa"/>
              <w:bottom w:w="100" w:type="dxa"/>
              <w:end w:w="120" w:type="dxa"/>
            </w:tcMar>
            <w:shd w:fill="EAF2F8"/>
          </w:tcPr>
          <w:p>
            <w:pPr>
              <w:spacing w:after="0"/>
            </w:pPr>
            <w:r>
              <w:rPr>
                <w:sz w:val="18"/>
              </w:rPr>
              <w:t>5 percent of each seller order subtotal</w:t>
            </w:r>
          </w:p>
        </w:tc>
      </w:tr>
      <w:tr>
        <w:trPr>
          <w:cantSplit/>
        </w:trPr>
        <w:tc>
          <w:tcPr>
            <w:tcW w:type="dxa" w:w="2376"/>
            <w:vAlign w:val="center"/>
            <w:tcMar>
              <w:top w:w="100" w:type="dxa"/>
              <w:start w:w="120" w:type="dxa"/>
              <w:bottom w:w="100" w:type="dxa"/>
              <w:end w:w="120" w:type="dxa"/>
            </w:tcMar>
          </w:tcPr>
          <w:p>
            <w:pPr>
              <w:spacing w:after="0"/>
            </w:pPr>
            <w:r>
              <w:rPr>
                <w:sz w:val="18"/>
              </w:rPr>
              <w:t>Shipping</w:t>
            </w:r>
          </w:p>
        </w:tc>
        <w:tc>
          <w:tcPr>
            <w:tcW w:type="dxa" w:w="7416"/>
            <w:vAlign w:val="center"/>
            <w:tcMar>
              <w:top w:w="100" w:type="dxa"/>
              <w:start w:w="120" w:type="dxa"/>
              <w:bottom w:w="100" w:type="dxa"/>
              <w:end w:w="120" w:type="dxa"/>
            </w:tcMar>
          </w:tcPr>
          <w:p>
            <w:pPr>
              <w:spacing w:after="0"/>
            </w:pPr>
            <w:r>
              <w:rPr>
                <w:sz w:val="18"/>
              </w:rPr>
              <w:t>PKR 200 for each seller order</w:t>
            </w:r>
          </w:p>
        </w:tc>
      </w:tr>
      <w:tr>
        <w:trPr>
          <w:cantSplit/>
        </w:trPr>
        <w:tc>
          <w:tcPr>
            <w:tcW w:type="dxa" w:w="2376"/>
            <w:vAlign w:val="center"/>
            <w:tcMar>
              <w:top w:w="100" w:type="dxa"/>
              <w:start w:w="120" w:type="dxa"/>
              <w:bottom w:w="100" w:type="dxa"/>
              <w:end w:w="120" w:type="dxa"/>
            </w:tcMar>
            <w:shd w:fill="EAF2F8"/>
          </w:tcPr>
          <w:p>
            <w:pPr>
              <w:spacing w:after="0"/>
            </w:pPr>
            <w:r>
              <w:rPr>
                <w:sz w:val="18"/>
              </w:rPr>
              <w:t>Seller allocation</w:t>
            </w:r>
          </w:p>
        </w:tc>
        <w:tc>
          <w:tcPr>
            <w:tcW w:type="dxa" w:w="7416"/>
            <w:vAlign w:val="center"/>
            <w:tcMar>
              <w:top w:w="100" w:type="dxa"/>
              <w:start w:w="120" w:type="dxa"/>
              <w:bottom w:w="100" w:type="dxa"/>
              <w:end w:w="120" w:type="dxa"/>
            </w:tcMar>
            <w:shd w:fill="EAF2F8"/>
          </w:tcPr>
          <w:p>
            <w:pPr>
              <w:spacing w:after="0"/>
            </w:pPr>
            <w:r>
              <w:rPr>
                <w:sz w:val="18"/>
              </w:rPr>
              <w:t>Subtotal plus shipping; platform fee is separately recognized</w:t>
            </w:r>
          </w:p>
        </w:tc>
      </w:tr>
      <w:tr>
        <w:trPr>
          <w:cantSplit/>
        </w:trPr>
        <w:tc>
          <w:tcPr>
            <w:tcW w:type="dxa" w:w="2376"/>
            <w:vAlign w:val="center"/>
            <w:tcMar>
              <w:top w:w="100" w:type="dxa"/>
              <w:start w:w="120" w:type="dxa"/>
              <w:bottom w:w="100" w:type="dxa"/>
              <w:end w:w="120" w:type="dxa"/>
            </w:tcMar>
          </w:tcPr>
          <w:p>
            <w:pPr>
              <w:spacing w:after="0"/>
            </w:pPr>
            <w:r>
              <w:rPr>
                <w:sz w:val="18"/>
              </w:rPr>
              <w:t>Checkout total</w:t>
            </w:r>
          </w:p>
        </w:tc>
        <w:tc>
          <w:tcPr>
            <w:tcW w:type="dxa" w:w="7416"/>
            <w:vAlign w:val="center"/>
            <w:tcMar>
              <w:top w:w="100" w:type="dxa"/>
              <w:start w:w="120" w:type="dxa"/>
              <w:bottom w:w="100" w:type="dxa"/>
              <w:end w:w="120" w:type="dxa"/>
            </w:tcMar>
          </w:tcPr>
          <w:p>
            <w:pPr>
              <w:spacing w:after="0"/>
            </w:pPr>
            <w:r>
              <w:rPr>
                <w:sz w:val="18"/>
              </w:rPr>
              <w:t>Sum of all seller order subtotals, shipping fees, and platform fees</w:t>
            </w:r>
          </w:p>
        </w:tc>
      </w:tr>
    </w:tbl>
    <w:p>
      <w:pPr>
        <w:spacing w:after="0"/>
      </w:pPr>
    </w:p>
    <w:p>
      <w:pPr>
        <w:pStyle w:val="Heading2"/>
      </w:pPr>
      <w:r>
        <w:t>Payment Support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376"/>
            <w:vAlign w:val="center"/>
            <w:shd w:fill="1F4E78"/>
            <w:tcMar>
              <w:top w:w="100" w:type="dxa"/>
              <w:start w:w="120" w:type="dxa"/>
              <w:bottom w:w="100" w:type="dxa"/>
              <w:end w:w="120" w:type="dxa"/>
            </w:tcMar>
          </w:tcPr>
          <w:p>
            <w:pPr>
              <w:jc w:val="center"/>
            </w:pPr>
            <w:r>
              <w:rPr>
                <w:b/>
                <w:color w:val="FFFFFF"/>
                <w:sz w:val="18"/>
              </w:rPr>
              <w:t>Method</w:t>
            </w:r>
          </w:p>
        </w:tc>
        <w:tc>
          <w:tcPr>
            <w:tcW w:type="dxa" w:w="7416"/>
            <w:vAlign w:val="center"/>
            <w:shd w:fill="1F4E78"/>
            <w:tcMar>
              <w:top w:w="100" w:type="dxa"/>
              <w:start w:w="120" w:type="dxa"/>
              <w:bottom w:w="100" w:type="dxa"/>
              <w:end w:w="120" w:type="dxa"/>
            </w:tcMar>
          </w:tcPr>
          <w:p>
            <w:pPr>
              <w:jc w:val="center"/>
            </w:pPr>
            <w:r>
              <w:rPr>
                <w:b/>
                <w:color w:val="FFFFFF"/>
                <w:sz w:val="18"/>
              </w:rPr>
              <w:t>Behavior</w:t>
            </w:r>
          </w:p>
        </w:tc>
      </w:tr>
      <w:tr>
        <w:trPr>
          <w:cantSplit/>
        </w:trPr>
        <w:tc>
          <w:tcPr>
            <w:tcW w:type="dxa" w:w="2376"/>
            <w:vAlign w:val="center"/>
            <w:tcMar>
              <w:top w:w="100" w:type="dxa"/>
              <w:start w:w="120" w:type="dxa"/>
              <w:bottom w:w="100" w:type="dxa"/>
              <w:end w:w="120" w:type="dxa"/>
            </w:tcMar>
          </w:tcPr>
          <w:p>
            <w:pPr>
              <w:spacing w:after="0"/>
            </w:pPr>
            <w:r>
              <w:rPr>
                <w:sz w:val="18"/>
              </w:rPr>
              <w:t>Wallet</w:t>
            </w:r>
          </w:p>
        </w:tc>
        <w:tc>
          <w:tcPr>
            <w:tcW w:type="dxa" w:w="7416"/>
            <w:vAlign w:val="center"/>
            <w:tcMar>
              <w:top w:w="100" w:type="dxa"/>
              <w:start w:w="120" w:type="dxa"/>
              <w:bottom w:w="100" w:type="dxa"/>
              <w:end w:w="120" w:type="dxa"/>
            </w:tcMar>
          </w:tcPr>
          <w:p>
            <w:pPr>
              <w:spacing w:after="0"/>
            </w:pPr>
            <w:r>
              <w:rPr>
                <w:sz w:val="18"/>
              </w:rPr>
              <w:t>Buyer funds are debited into escrow through balanced ledger entries and released only after settlement</w:t>
            </w:r>
          </w:p>
        </w:tc>
      </w:tr>
      <w:tr>
        <w:trPr>
          <w:cantSplit/>
        </w:trPr>
        <w:tc>
          <w:tcPr>
            <w:tcW w:type="dxa" w:w="2376"/>
            <w:vAlign w:val="center"/>
            <w:tcMar>
              <w:top w:w="100" w:type="dxa"/>
              <w:start w:w="120" w:type="dxa"/>
              <w:bottom w:w="100" w:type="dxa"/>
              <w:end w:w="120" w:type="dxa"/>
            </w:tcMar>
            <w:shd w:fill="EAF2F8"/>
          </w:tcPr>
          <w:p>
            <w:pPr>
              <w:spacing w:after="0"/>
            </w:pPr>
            <w:r>
              <w:rPr>
                <w:sz w:val="18"/>
              </w:rPr>
              <w:t>Cash on delivery</w:t>
            </w:r>
          </w:p>
        </w:tc>
        <w:tc>
          <w:tcPr>
            <w:tcW w:type="dxa" w:w="7416"/>
            <w:vAlign w:val="center"/>
            <w:tcMar>
              <w:top w:w="100" w:type="dxa"/>
              <w:start w:w="120" w:type="dxa"/>
              <w:bottom w:w="100" w:type="dxa"/>
              <w:end w:w="120" w:type="dxa"/>
            </w:tcMar>
            <w:shd w:fill="EAF2F8"/>
          </w:tcPr>
          <w:p>
            <w:pPr>
              <w:spacing w:after="0"/>
            </w:pPr>
            <w:r>
              <w:rPr>
                <w:sz w:val="18"/>
              </w:rPr>
              <w:t>Order starts pending payment; settlement records cash collection without a wallet movement</w:t>
            </w:r>
          </w:p>
        </w:tc>
      </w:tr>
      <w:tr>
        <w:trPr>
          <w:cantSplit/>
        </w:trPr>
        <w:tc>
          <w:tcPr>
            <w:tcW w:type="dxa" w:w="2376"/>
            <w:vAlign w:val="center"/>
            <w:tcMar>
              <w:top w:w="100" w:type="dxa"/>
              <w:start w:w="120" w:type="dxa"/>
              <w:bottom w:w="100" w:type="dxa"/>
              <w:end w:w="120" w:type="dxa"/>
            </w:tcMar>
          </w:tcPr>
          <w:p>
            <w:pPr>
              <w:spacing w:after="0"/>
            </w:pPr>
            <w:r>
              <w:rPr>
                <w:sz w:val="18"/>
              </w:rPr>
              <w:t>Card</w:t>
            </w:r>
          </w:p>
        </w:tc>
        <w:tc>
          <w:tcPr>
            <w:tcW w:type="dxa" w:w="7416"/>
            <w:vAlign w:val="center"/>
            <w:tcMar>
              <w:top w:w="100" w:type="dxa"/>
              <w:start w:w="120" w:type="dxa"/>
              <w:bottom w:w="100" w:type="dxa"/>
              <w:end w:w="120" w:type="dxa"/>
            </w:tcMar>
          </w:tcPr>
          <w:p>
            <w:pPr>
              <w:spacing w:after="0"/>
            </w:pPr>
            <w:r>
              <w:rPr>
                <w:sz w:val="18"/>
              </w:rPr>
              <w:t>Card payments are unavailable until a verified payment provider and provider events are integrated</w:t>
            </w:r>
          </w:p>
        </w:tc>
      </w:tr>
    </w:tbl>
    <w:p>
      <w:pPr>
        <w:spacing w:after="0"/>
      </w:pPr>
    </w:p>
    <w:p>
      <w:pPr>
        <w:pStyle w:val="Heading2"/>
      </w:pPr>
      <w:r>
        <w:t>State and Compensation</w:t>
      </w:r>
    </w:p>
    <w:p>
      <w:r>
        <w:t>Seller order transitions are validated on the server. Sellers can move their orders into processing and shipped states, buyers can confirm delivery, and administrators can perform authorized intervention. Cancellation and refund paths restore inventory and refund held wallet funds in the same database transaction. Escrow release is row locked and idempotent.</w:t>
      </w:r>
    </w:p>
    <w:p>
      <w:pPr>
        <w:pStyle w:val="Heading1"/>
      </w:pPr>
      <w:r>
        <w:t>API Map</w:t>
      </w:r>
    </w:p>
    <w:p>
      <w:r>
        <w:t>HTTP routes are mounted under /api/v1. Generated OpenAPI is the detailed request and response reference when API documentation is enabled in a controlled environment. The table below identifies the stable route families and access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952"/>
            <w:vAlign w:val="center"/>
            <w:shd w:fill="1F4E78"/>
            <w:tcMar>
              <w:top w:w="100" w:type="dxa"/>
              <w:start w:w="120" w:type="dxa"/>
              <w:bottom w:w="100" w:type="dxa"/>
              <w:end w:w="120" w:type="dxa"/>
            </w:tcMar>
          </w:tcPr>
          <w:p>
            <w:pPr>
              <w:jc w:val="center"/>
            </w:pPr>
            <w:r>
              <w:rPr>
                <w:b/>
                <w:color w:val="FFFFFF"/>
                <w:sz w:val="18"/>
              </w:rPr>
              <w:t>Route family</w:t>
            </w:r>
          </w:p>
        </w:tc>
        <w:tc>
          <w:tcPr>
            <w:tcW w:type="dxa" w:w="6840"/>
            <w:vAlign w:val="center"/>
            <w:shd w:fill="1F4E78"/>
            <w:tcMar>
              <w:top w:w="100" w:type="dxa"/>
              <w:start w:w="120" w:type="dxa"/>
              <w:bottom w:w="100" w:type="dxa"/>
              <w:end w:w="120" w:type="dxa"/>
            </w:tcMar>
          </w:tcPr>
          <w:p>
            <w:pPr>
              <w:jc w:val="center"/>
            </w:pPr>
            <w:r>
              <w:rPr>
                <w:b/>
                <w:color w:val="FFFFFF"/>
                <w:sz w:val="18"/>
              </w:rPr>
              <w:t>Access and purpose</w:t>
            </w:r>
          </w:p>
        </w:tc>
      </w:tr>
      <w:tr>
        <w:trPr>
          <w:cantSplit/>
        </w:trPr>
        <w:tc>
          <w:tcPr>
            <w:tcW w:type="dxa" w:w="2952"/>
            <w:vAlign w:val="center"/>
            <w:tcMar>
              <w:top w:w="100" w:type="dxa"/>
              <w:start w:w="120" w:type="dxa"/>
              <w:bottom w:w="100" w:type="dxa"/>
              <w:end w:w="120" w:type="dxa"/>
            </w:tcMar>
          </w:tcPr>
          <w:p>
            <w:pPr>
              <w:spacing w:after="0"/>
            </w:pPr>
            <w:r>
              <w:rPr>
                <w:sz w:val="18"/>
              </w:rPr>
              <w:t>/auth</w:t>
            </w:r>
          </w:p>
        </w:tc>
        <w:tc>
          <w:tcPr>
            <w:tcW w:type="dxa" w:w="6840"/>
            <w:vAlign w:val="center"/>
            <w:tcMar>
              <w:top w:w="100" w:type="dxa"/>
              <w:start w:w="120" w:type="dxa"/>
              <w:bottom w:w="100" w:type="dxa"/>
              <w:end w:w="120" w:type="dxa"/>
            </w:tcMar>
          </w:tcPr>
          <w:p>
            <w:pPr>
              <w:spacing w:after="0"/>
            </w:pPr>
            <w:r>
              <w:rPr>
                <w:sz w:val="18"/>
              </w:rPr>
              <w:t>Registration for buyer or seller roles, login, Google authentication, refresh rotation, logout, sessions, email verification, and password reset</w:t>
            </w:r>
          </w:p>
        </w:tc>
      </w:tr>
      <w:tr>
        <w:trPr>
          <w:cantSplit/>
        </w:trPr>
        <w:tc>
          <w:tcPr>
            <w:tcW w:type="dxa" w:w="2952"/>
            <w:vAlign w:val="center"/>
            <w:tcMar>
              <w:top w:w="100" w:type="dxa"/>
              <w:start w:w="120" w:type="dxa"/>
              <w:bottom w:w="100" w:type="dxa"/>
              <w:end w:w="120" w:type="dxa"/>
            </w:tcMar>
            <w:shd w:fill="EAF2F8"/>
          </w:tcPr>
          <w:p>
            <w:pPr>
              <w:spacing w:after="0"/>
            </w:pPr>
            <w:r>
              <w:rPr>
                <w:sz w:val="18"/>
              </w:rPr>
              <w:t>/users</w:t>
            </w:r>
          </w:p>
        </w:tc>
        <w:tc>
          <w:tcPr>
            <w:tcW w:type="dxa" w:w="6840"/>
            <w:vAlign w:val="center"/>
            <w:tcMar>
              <w:top w:w="100" w:type="dxa"/>
              <w:start w:w="120" w:type="dxa"/>
              <w:bottom w:w="100" w:type="dxa"/>
              <w:end w:w="120" w:type="dxa"/>
            </w:tcMar>
            <w:shd w:fill="EAF2F8"/>
          </w:tcPr>
          <w:p>
            <w:pPr>
              <w:spacing w:after="0"/>
            </w:pPr>
            <w:r>
              <w:rPr>
                <w:sz w:val="18"/>
              </w:rPr>
              <w:t>Authenticated profile read and update</w:t>
            </w:r>
          </w:p>
        </w:tc>
      </w:tr>
      <w:tr>
        <w:trPr>
          <w:cantSplit/>
        </w:trPr>
        <w:tc>
          <w:tcPr>
            <w:tcW w:type="dxa" w:w="2952"/>
            <w:vAlign w:val="center"/>
            <w:tcMar>
              <w:top w:w="100" w:type="dxa"/>
              <w:start w:w="120" w:type="dxa"/>
              <w:bottom w:w="100" w:type="dxa"/>
              <w:end w:w="120" w:type="dxa"/>
            </w:tcMar>
          </w:tcPr>
          <w:p>
            <w:pPr>
              <w:spacing w:after="0"/>
            </w:pPr>
            <w:r>
              <w:rPr>
                <w:sz w:val="18"/>
              </w:rPr>
              <w:t>/products and /categories</w:t>
            </w:r>
          </w:p>
        </w:tc>
        <w:tc>
          <w:tcPr>
            <w:tcW w:type="dxa" w:w="6840"/>
            <w:vAlign w:val="center"/>
            <w:tcMar>
              <w:top w:w="100" w:type="dxa"/>
              <w:start w:w="120" w:type="dxa"/>
              <w:bottom w:w="100" w:type="dxa"/>
              <w:end w:w="120" w:type="dxa"/>
            </w:tcMar>
          </w:tcPr>
          <w:p>
            <w:pPr>
              <w:spacing w:after="0"/>
            </w:pPr>
            <w:r>
              <w:rPr>
                <w:sz w:val="18"/>
              </w:rPr>
              <w:t>Catalog reads plus verified-seller or administrator mutations</w:t>
            </w:r>
          </w:p>
        </w:tc>
      </w:tr>
      <w:tr>
        <w:trPr>
          <w:cantSplit/>
        </w:trPr>
        <w:tc>
          <w:tcPr>
            <w:tcW w:type="dxa" w:w="2952"/>
            <w:vAlign w:val="center"/>
            <w:tcMar>
              <w:top w:w="100" w:type="dxa"/>
              <w:start w:w="120" w:type="dxa"/>
              <w:bottom w:w="100" w:type="dxa"/>
              <w:end w:w="120" w:type="dxa"/>
            </w:tcMar>
            <w:shd w:fill="EAF2F8"/>
          </w:tcPr>
          <w:p>
            <w:pPr>
              <w:spacing w:after="0"/>
            </w:pPr>
            <w:r>
              <w:rPr>
                <w:sz w:val="18"/>
              </w:rPr>
              <w:t>/shopping</w:t>
            </w:r>
          </w:p>
        </w:tc>
        <w:tc>
          <w:tcPr>
            <w:tcW w:type="dxa" w:w="6840"/>
            <w:vAlign w:val="center"/>
            <w:tcMar>
              <w:top w:w="100" w:type="dxa"/>
              <w:start w:w="120" w:type="dxa"/>
              <w:bottom w:w="100" w:type="dxa"/>
              <w:end w:w="120" w:type="dxa"/>
            </w:tcMar>
            <w:shd w:fill="EAF2F8"/>
          </w:tcPr>
          <w:p>
            <w:pPr>
              <w:spacing w:after="0"/>
            </w:pPr>
            <w:r>
              <w:rPr>
                <w:sz w:val="18"/>
              </w:rPr>
              <w:t>Buyer cart, wishlist, and checkout convenience operations</w:t>
            </w:r>
          </w:p>
        </w:tc>
      </w:tr>
      <w:tr>
        <w:trPr>
          <w:cantSplit/>
        </w:trPr>
        <w:tc>
          <w:tcPr>
            <w:tcW w:type="dxa" w:w="2952"/>
            <w:vAlign w:val="center"/>
            <w:tcMar>
              <w:top w:w="100" w:type="dxa"/>
              <w:start w:w="120" w:type="dxa"/>
              <w:bottom w:w="100" w:type="dxa"/>
              <w:end w:w="120" w:type="dxa"/>
            </w:tcMar>
          </w:tcPr>
          <w:p>
            <w:pPr>
              <w:spacing w:after="0"/>
            </w:pPr>
            <w:r>
              <w:rPr>
                <w:sz w:val="18"/>
              </w:rPr>
              <w:t>/orders</w:t>
            </w:r>
          </w:p>
        </w:tc>
        <w:tc>
          <w:tcPr>
            <w:tcW w:type="dxa" w:w="6840"/>
            <w:vAlign w:val="center"/>
            <w:tcMar>
              <w:top w:w="100" w:type="dxa"/>
              <w:start w:w="120" w:type="dxa"/>
              <w:bottom w:w="100" w:type="dxa"/>
              <w:end w:w="120" w:type="dxa"/>
            </w:tcMar>
          </w:tcPr>
          <w:p>
            <w:pPr>
              <w:spacing w:after="0"/>
            </w:pPr>
            <w:r>
              <w:rPr>
                <w:sz w:val="18"/>
              </w:rPr>
              <w:t>Buyer checkout and history, seller fulfillment, delivery confirmation, and settlement</w:t>
            </w:r>
          </w:p>
        </w:tc>
      </w:tr>
      <w:tr>
        <w:trPr>
          <w:cantSplit/>
        </w:trPr>
        <w:tc>
          <w:tcPr>
            <w:tcW w:type="dxa" w:w="2952"/>
            <w:vAlign w:val="center"/>
            <w:tcMar>
              <w:top w:w="100" w:type="dxa"/>
              <w:start w:w="120" w:type="dxa"/>
              <w:bottom w:w="100" w:type="dxa"/>
              <w:end w:w="120" w:type="dxa"/>
            </w:tcMar>
            <w:shd w:fill="EAF2F8"/>
          </w:tcPr>
          <w:p>
            <w:pPr>
              <w:spacing w:after="0"/>
            </w:pPr>
            <w:r>
              <w:rPr>
                <w:sz w:val="18"/>
              </w:rPr>
              <w:t>/wallet</w:t>
            </w:r>
          </w:p>
        </w:tc>
        <w:tc>
          <w:tcPr>
            <w:tcW w:type="dxa" w:w="6840"/>
            <w:vAlign w:val="center"/>
            <w:tcMar>
              <w:top w:w="100" w:type="dxa"/>
              <w:start w:w="120" w:type="dxa"/>
              <w:bottom w:w="100" w:type="dxa"/>
              <w:end w:w="120" w:type="dxa"/>
            </w:tcMar>
            <w:shd w:fill="EAF2F8"/>
          </w:tcPr>
          <w:p>
            <w:pPr>
              <w:spacing w:after="0"/>
            </w:pPr>
            <w:r>
              <w:rPr>
                <w:sz w:val="18"/>
              </w:rPr>
              <w:t>Authenticated balance read only; public self-funding is disabled</w:t>
            </w:r>
          </w:p>
        </w:tc>
      </w:tr>
      <w:tr>
        <w:trPr>
          <w:cantSplit/>
        </w:trPr>
        <w:tc>
          <w:tcPr>
            <w:tcW w:type="dxa" w:w="2952"/>
            <w:vAlign w:val="center"/>
            <w:tcMar>
              <w:top w:w="100" w:type="dxa"/>
              <w:start w:w="120" w:type="dxa"/>
              <w:bottom w:w="100" w:type="dxa"/>
              <w:end w:w="120" w:type="dxa"/>
            </w:tcMar>
          </w:tcPr>
          <w:p>
            <w:pPr>
              <w:spacing w:after="0"/>
            </w:pPr>
            <w:r>
              <w:rPr>
                <w:sz w:val="18"/>
              </w:rPr>
              <w:t>/sellers</w:t>
            </w:r>
          </w:p>
        </w:tc>
        <w:tc>
          <w:tcPr>
            <w:tcW w:type="dxa" w:w="6840"/>
            <w:vAlign w:val="center"/>
            <w:tcMar>
              <w:top w:w="100" w:type="dxa"/>
              <w:start w:w="120" w:type="dxa"/>
              <w:bottom w:w="100" w:type="dxa"/>
              <w:end w:w="120" w:type="dxa"/>
            </w:tcMar>
          </w:tcPr>
          <w:p>
            <w:pPr>
              <w:spacing w:after="0"/>
            </w:pPr>
            <w:r>
              <w:rPr>
                <w:sz w:val="18"/>
              </w:rPr>
              <w:t>Seller verification submission, status, and administrator review</w:t>
            </w:r>
          </w:p>
        </w:tc>
      </w:tr>
      <w:tr>
        <w:trPr>
          <w:cantSplit/>
        </w:trPr>
        <w:tc>
          <w:tcPr>
            <w:tcW w:type="dxa" w:w="2952"/>
            <w:vAlign w:val="center"/>
            <w:tcMar>
              <w:top w:w="100" w:type="dxa"/>
              <w:start w:w="120" w:type="dxa"/>
              <w:bottom w:w="100" w:type="dxa"/>
              <w:end w:w="120" w:type="dxa"/>
            </w:tcMar>
            <w:shd w:fill="EAF2F8"/>
          </w:tcPr>
          <w:p>
            <w:pPr>
              <w:spacing w:after="0"/>
            </w:pPr>
            <w:r>
              <w:rPr>
                <w:sz w:val="18"/>
              </w:rPr>
              <w:t>/reviews and /stores</w:t>
            </w:r>
          </w:p>
        </w:tc>
        <w:tc>
          <w:tcPr>
            <w:tcW w:type="dxa" w:w="6840"/>
            <w:vAlign w:val="center"/>
            <w:tcMar>
              <w:top w:w="100" w:type="dxa"/>
              <w:start w:w="120" w:type="dxa"/>
              <w:bottom w:w="100" w:type="dxa"/>
              <w:end w:w="120" w:type="dxa"/>
            </w:tcMar>
            <w:shd w:fill="EAF2F8"/>
          </w:tcPr>
          <w:p>
            <w:pPr>
              <w:spacing w:after="0"/>
            </w:pPr>
            <w:r>
              <w:rPr>
                <w:sz w:val="18"/>
              </w:rPr>
              <w:t>Verified-purchase reviews and trusted seller ranking</w:t>
            </w:r>
          </w:p>
        </w:tc>
      </w:tr>
      <w:tr>
        <w:trPr>
          <w:cantSplit/>
        </w:trPr>
        <w:tc>
          <w:tcPr>
            <w:tcW w:type="dxa" w:w="2952"/>
            <w:vAlign w:val="center"/>
            <w:tcMar>
              <w:top w:w="100" w:type="dxa"/>
              <w:start w:w="120" w:type="dxa"/>
              <w:bottom w:w="100" w:type="dxa"/>
              <w:end w:w="120" w:type="dxa"/>
            </w:tcMar>
          </w:tcPr>
          <w:p>
            <w:pPr>
              <w:spacing w:after="0"/>
            </w:pPr>
            <w:r>
              <w:rPr>
                <w:sz w:val="18"/>
              </w:rPr>
              <w:t>/chat and /support</w:t>
            </w:r>
          </w:p>
        </w:tc>
        <w:tc>
          <w:tcPr>
            <w:tcW w:type="dxa" w:w="6840"/>
            <w:vAlign w:val="center"/>
            <w:tcMar>
              <w:top w:w="100" w:type="dxa"/>
              <w:start w:w="120" w:type="dxa"/>
              <w:bottom w:w="100" w:type="dxa"/>
              <w:end w:w="120" w:type="dxa"/>
            </w:tcMar>
          </w:tcPr>
          <w:p>
            <w:pPr>
              <w:spacing w:after="0"/>
            </w:pPr>
            <w:r>
              <w:rPr>
                <w:sz w:val="18"/>
              </w:rPr>
              <w:t>Order-scoped messaging history, WebSocket chat, and support tickets</w:t>
            </w:r>
          </w:p>
        </w:tc>
      </w:tr>
      <w:tr>
        <w:trPr>
          <w:cantSplit/>
        </w:trPr>
        <w:tc>
          <w:tcPr>
            <w:tcW w:type="dxa" w:w="2952"/>
            <w:vAlign w:val="center"/>
            <w:tcMar>
              <w:top w:w="100" w:type="dxa"/>
              <w:start w:w="120" w:type="dxa"/>
              <w:bottom w:w="100" w:type="dxa"/>
              <w:end w:w="120" w:type="dxa"/>
            </w:tcMar>
            <w:shd w:fill="EAF2F8"/>
          </w:tcPr>
          <w:p>
            <w:pPr>
              <w:spacing w:after="0"/>
            </w:pPr>
            <w:r>
              <w:rPr>
                <w:sz w:val="18"/>
              </w:rPr>
              <w:t>/upload</w:t>
            </w:r>
          </w:p>
        </w:tc>
        <w:tc>
          <w:tcPr>
            <w:tcW w:type="dxa" w:w="6840"/>
            <w:vAlign w:val="center"/>
            <w:tcMar>
              <w:top w:w="100" w:type="dxa"/>
              <w:start w:w="120" w:type="dxa"/>
              <w:bottom w:w="100" w:type="dxa"/>
              <w:end w:w="120" w:type="dxa"/>
            </w:tcMar>
            <w:shd w:fill="EAF2F8"/>
          </w:tcPr>
          <w:p>
            <w:pPr>
              <w:spacing w:after="0"/>
            </w:pPr>
            <w:r>
              <w:rPr>
                <w:sz w:val="18"/>
              </w:rPr>
              <w:t>Managed, validated seller-owned product image upload</w:t>
            </w:r>
          </w:p>
        </w:tc>
      </w:tr>
      <w:tr>
        <w:trPr>
          <w:cantSplit/>
        </w:trPr>
        <w:tc>
          <w:tcPr>
            <w:tcW w:type="dxa" w:w="2952"/>
            <w:vAlign w:val="center"/>
            <w:tcMar>
              <w:top w:w="100" w:type="dxa"/>
              <w:start w:w="120" w:type="dxa"/>
              <w:bottom w:w="100" w:type="dxa"/>
              <w:end w:w="120" w:type="dxa"/>
            </w:tcMar>
          </w:tcPr>
          <w:p>
            <w:pPr>
              <w:spacing w:after="0"/>
            </w:pPr>
            <w:r>
              <w:rPr>
                <w:sz w:val="18"/>
              </w:rPr>
              <w:t>/admin</w:t>
            </w:r>
          </w:p>
        </w:tc>
        <w:tc>
          <w:tcPr>
            <w:tcW w:type="dxa" w:w="6840"/>
            <w:vAlign w:val="center"/>
            <w:tcMar>
              <w:top w:w="100" w:type="dxa"/>
              <w:start w:w="120" w:type="dxa"/>
              <w:bottom w:w="100" w:type="dxa"/>
              <w:end w:w="120" w:type="dxa"/>
            </w:tcMar>
          </w:tcPr>
          <w:p>
            <w:pPr>
              <w:spacing w:after="0"/>
            </w:pPr>
            <w:r>
              <w:rPr>
                <w:sz w:val="18"/>
              </w:rPr>
              <w:t>Administrator reporting, users, orders, and support operations</w:t>
            </w:r>
          </w:p>
        </w:tc>
      </w:tr>
      <w:tr>
        <w:trPr>
          <w:cantSplit/>
        </w:trPr>
        <w:tc>
          <w:tcPr>
            <w:tcW w:type="dxa" w:w="2952"/>
            <w:vAlign w:val="center"/>
            <w:tcMar>
              <w:top w:w="100" w:type="dxa"/>
              <w:start w:w="120" w:type="dxa"/>
              <w:bottom w:w="100" w:type="dxa"/>
              <w:end w:w="120" w:type="dxa"/>
            </w:tcMar>
            <w:shd w:fill="EAF2F8"/>
          </w:tcPr>
          <w:p>
            <w:pPr>
              <w:spacing w:after="0"/>
            </w:pPr>
            <w:r>
              <w:rPr>
                <w:sz w:val="18"/>
              </w:rPr>
              <w:t>/ai and /vto</w:t>
            </w:r>
          </w:p>
        </w:tc>
        <w:tc>
          <w:tcPr>
            <w:tcW w:type="dxa" w:w="6840"/>
            <w:vAlign w:val="center"/>
            <w:tcMar>
              <w:top w:w="100" w:type="dxa"/>
              <w:start w:w="120" w:type="dxa"/>
              <w:bottom w:w="100" w:type="dxa"/>
              <w:end w:w="120" w:type="dxa"/>
            </w:tcMar>
            <w:shd w:fill="EAF2F8"/>
          </w:tcPr>
          <w:p>
            <w:pPr>
              <w:spacing w:after="0"/>
            </w:pPr>
            <w:r>
              <w:rPr>
                <w:sz w:val="18"/>
              </w:rPr>
              <w:t>Deferred or legacy AI surfaces; do not advertise as approved production features</w:t>
            </w:r>
          </w:p>
        </w:tc>
      </w:tr>
    </w:tbl>
    <w:p>
      <w:pPr>
        <w:spacing w:after="0"/>
      </w:pPr>
    </w:p>
    <w:p>
      <w:pPr>
        <w:pStyle w:val="Heading2"/>
      </w:pPr>
      <w:r>
        <w:t>WebSocket Chat</w:t>
      </w:r>
    </w:p>
    <w:p>
      <w:r>
        <w:t>The chat endpoint authenticates a bearer token through the WebSocket subprotocol and verifies that sender and receiver are the buyer and seller of the referenced seller order. Messages are persisted before delivery. Multiple sockets per user are supported within one process, and failed sockets are removed without terminating delivery to healthy sockets.</w:t>
      </w:r>
    </w:p>
    <w:p>
      <w:r>
        <w:t>Delivery is process local. Run exactly one web worker and one application replica until a shared pub/sub backplane is implemented.</w:t>
      </w:r>
    </w:p>
    <w:p>
      <w:pPr>
        <w:pStyle w:val="Heading1"/>
      </w:pPr>
      <w:r>
        <w:t>Seller Verification and Privacy</w:t>
      </w:r>
    </w:p>
    <w:p>
      <w:r>
        <w:t>A seller can have only one pending verification request. Submission uses a seller row lock and database uniqueness rule so concurrent requests cannot bypass the limit. KYC data is fail closed: production submission is disabled unless private storage, signed read access, retention, deletion, backup, and incident procedures are explicitly configured and approved.</w:t>
      </w:r>
    </w:p>
    <w:p>
      <w:pPr>
        <w:pStyle w:val="Heading1"/>
      </w:pPr>
      <w:r>
        <w:t>Observability and Reporting</w:t>
      </w:r>
    </w:p>
    <w:p>
      <w:r>
        <w:t>Every HTTP request receives or propagates an X-Request-ID. Structured logs omit raw request bodies, credentials, tokens, KYC values, and payment secrets. Audit events record sensitive administrative, order, payment, authentication, and verification changes.</w:t>
      </w:r>
    </w:p>
    <w:p>
      <w:r>
        <w:t>Administrative reporting distinguishes buyer checkout count from seller order count. Gross merchandise value and platform revenue are recognized only from settled payment allocations. Held escrow is reported separately and is not treated as earned revenue.</w:t>
      </w:r>
    </w:p>
    <w:p>
      <w:pPr>
        <w:pStyle w:val="Heading1"/>
      </w:pPr>
      <w:r>
        <w:t>Capacity and Search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592"/>
            <w:vAlign w:val="center"/>
            <w:shd w:fill="1F4E78"/>
            <w:tcMar>
              <w:top w:w="100" w:type="dxa"/>
              <w:start w:w="120" w:type="dxa"/>
              <w:bottom w:w="100" w:type="dxa"/>
              <w:end w:w="120" w:type="dxa"/>
            </w:tcMar>
          </w:tcPr>
          <w:p>
            <w:pPr>
              <w:jc w:val="center"/>
            </w:pPr>
            <w:r>
              <w:rPr>
                <w:b/>
                <w:color w:val="FFFFFF"/>
                <w:sz w:val="18"/>
              </w:rPr>
              <w:t>Control</w:t>
            </w:r>
          </w:p>
        </w:tc>
        <w:tc>
          <w:tcPr>
            <w:tcW w:type="dxa" w:w="7200"/>
            <w:vAlign w:val="center"/>
            <w:shd w:fill="1F4E78"/>
            <w:tcMar>
              <w:top w:w="100" w:type="dxa"/>
              <w:start w:w="120" w:type="dxa"/>
              <w:bottom w:w="100" w:type="dxa"/>
              <w:end w:w="120" w:type="dxa"/>
            </w:tcMar>
          </w:tcPr>
          <w:p>
            <w:pPr>
              <w:jc w:val="center"/>
            </w:pPr>
            <w:r>
              <w:rPr>
                <w:b/>
                <w:color w:val="FFFFFF"/>
                <w:sz w:val="18"/>
              </w:rPr>
              <w:t>Default or rule</w:t>
            </w:r>
          </w:p>
        </w:tc>
      </w:tr>
      <w:tr>
        <w:trPr>
          <w:cantSplit/>
        </w:trPr>
        <w:tc>
          <w:tcPr>
            <w:tcW w:type="dxa" w:w="2592"/>
            <w:vAlign w:val="center"/>
            <w:tcMar>
              <w:top w:w="100" w:type="dxa"/>
              <w:start w:w="120" w:type="dxa"/>
              <w:bottom w:w="100" w:type="dxa"/>
              <w:end w:w="120" w:type="dxa"/>
            </w:tcMar>
          </w:tcPr>
          <w:p>
            <w:pPr>
              <w:spacing w:after="0"/>
            </w:pPr>
            <w:r>
              <w:rPr>
                <w:sz w:val="18"/>
              </w:rPr>
              <w:t>Database pool</w:t>
            </w:r>
          </w:p>
        </w:tc>
        <w:tc>
          <w:tcPr>
            <w:tcW w:type="dxa" w:w="7200"/>
            <w:vAlign w:val="center"/>
            <w:tcMar>
              <w:top w:w="100" w:type="dxa"/>
              <w:start w:w="120" w:type="dxa"/>
              <w:bottom w:w="100" w:type="dxa"/>
              <w:end w:w="120" w:type="dxa"/>
            </w:tcMar>
          </w:tcPr>
          <w:p>
            <w:pPr>
              <w:spacing w:after="0"/>
            </w:pPr>
            <w:r>
              <w:rPr>
                <w:sz w:val="18"/>
              </w:rPr>
              <w:t>5 persistent connections and 5 overflow connections per process</w:t>
            </w:r>
          </w:p>
        </w:tc>
      </w:tr>
      <w:tr>
        <w:trPr>
          <w:cantSplit/>
        </w:trPr>
        <w:tc>
          <w:tcPr>
            <w:tcW w:type="dxa" w:w="2592"/>
            <w:vAlign w:val="center"/>
            <w:tcMar>
              <w:top w:w="100" w:type="dxa"/>
              <w:start w:w="120" w:type="dxa"/>
              <w:bottom w:w="100" w:type="dxa"/>
              <w:end w:w="120" w:type="dxa"/>
            </w:tcMar>
            <w:shd w:fill="EAF2F8"/>
          </w:tcPr>
          <w:p>
            <w:pPr>
              <w:spacing w:after="0"/>
            </w:pPr>
            <w:r>
              <w:rPr>
                <w:sz w:val="18"/>
              </w:rPr>
              <w:t>Connection budget</w:t>
            </w:r>
          </w:p>
        </w:tc>
        <w:tc>
          <w:tcPr>
            <w:tcW w:type="dxa" w:w="7200"/>
            <w:vAlign w:val="center"/>
            <w:tcMar>
              <w:top w:w="100" w:type="dxa"/>
              <w:start w:w="120" w:type="dxa"/>
              <w:bottom w:w="100" w:type="dxa"/>
              <w:end w:w="120" w:type="dxa"/>
            </w:tcMar>
            <w:shd w:fill="EAF2F8"/>
          </w:tcPr>
          <w:p>
            <w:pPr>
              <w:spacing w:after="0"/>
            </w:pPr>
            <w:r>
              <w:rPr>
                <w:sz w:val="18"/>
              </w:rPr>
              <w:t>Configured demand must not exceed DATABASE_CONNECTION_BUDGET</w:t>
            </w:r>
          </w:p>
        </w:tc>
      </w:tr>
      <w:tr>
        <w:trPr>
          <w:cantSplit/>
        </w:trPr>
        <w:tc>
          <w:tcPr>
            <w:tcW w:type="dxa" w:w="2592"/>
            <w:vAlign w:val="center"/>
            <w:tcMar>
              <w:top w:w="100" w:type="dxa"/>
              <w:start w:w="120" w:type="dxa"/>
              <w:bottom w:w="100" w:type="dxa"/>
              <w:end w:w="120" w:type="dxa"/>
            </w:tcMar>
          </w:tcPr>
          <w:p>
            <w:pPr>
              <w:spacing w:after="0"/>
            </w:pPr>
            <w:r>
              <w:rPr>
                <w:sz w:val="18"/>
              </w:rPr>
              <w:t>Pool wait</w:t>
            </w:r>
          </w:p>
        </w:tc>
        <w:tc>
          <w:tcPr>
            <w:tcW w:type="dxa" w:w="7200"/>
            <w:vAlign w:val="center"/>
            <w:tcMar>
              <w:top w:w="100" w:type="dxa"/>
              <w:start w:w="120" w:type="dxa"/>
              <w:bottom w:w="100" w:type="dxa"/>
              <w:end w:w="120" w:type="dxa"/>
            </w:tcMar>
          </w:tcPr>
          <w:p>
            <w:pPr>
              <w:spacing w:after="0"/>
            </w:pPr>
            <w:r>
              <w:rPr>
                <w:sz w:val="18"/>
              </w:rPr>
              <w:t>30 seconds before a request fails to obtain a connection</w:t>
            </w:r>
          </w:p>
        </w:tc>
      </w:tr>
      <w:tr>
        <w:trPr>
          <w:cantSplit/>
        </w:trPr>
        <w:tc>
          <w:tcPr>
            <w:tcW w:type="dxa" w:w="2592"/>
            <w:vAlign w:val="center"/>
            <w:tcMar>
              <w:top w:w="100" w:type="dxa"/>
              <w:start w:w="120" w:type="dxa"/>
              <w:bottom w:w="100" w:type="dxa"/>
              <w:end w:w="120" w:type="dxa"/>
            </w:tcMar>
            <w:shd w:fill="EAF2F8"/>
          </w:tcPr>
          <w:p>
            <w:pPr>
              <w:spacing w:after="0"/>
            </w:pPr>
            <w:r>
              <w:rPr>
                <w:sz w:val="18"/>
              </w:rPr>
              <w:t>Connection recycle</w:t>
            </w:r>
          </w:p>
        </w:tc>
        <w:tc>
          <w:tcPr>
            <w:tcW w:type="dxa" w:w="7200"/>
            <w:vAlign w:val="center"/>
            <w:tcMar>
              <w:top w:w="100" w:type="dxa"/>
              <w:start w:w="120" w:type="dxa"/>
              <w:bottom w:w="100" w:type="dxa"/>
              <w:end w:w="120" w:type="dxa"/>
            </w:tcMar>
            <w:shd w:fill="EAF2F8"/>
          </w:tcPr>
          <w:p>
            <w:pPr>
              <w:spacing w:after="0"/>
            </w:pPr>
            <w:r>
              <w:rPr>
                <w:sz w:val="18"/>
              </w:rPr>
              <w:t>1800 seconds</w:t>
            </w:r>
          </w:p>
        </w:tc>
      </w:tr>
      <w:tr>
        <w:trPr>
          <w:cantSplit/>
        </w:trPr>
        <w:tc>
          <w:tcPr>
            <w:tcW w:type="dxa" w:w="2592"/>
            <w:vAlign w:val="center"/>
            <w:tcMar>
              <w:top w:w="100" w:type="dxa"/>
              <w:start w:w="120" w:type="dxa"/>
              <w:bottom w:w="100" w:type="dxa"/>
              <w:end w:w="120" w:type="dxa"/>
            </w:tcMar>
          </w:tcPr>
          <w:p>
            <w:pPr>
              <w:spacing w:after="0"/>
            </w:pPr>
            <w:r>
              <w:rPr>
                <w:sz w:val="18"/>
              </w:rPr>
              <w:t>Chat topology</w:t>
            </w:r>
          </w:p>
        </w:tc>
        <w:tc>
          <w:tcPr>
            <w:tcW w:type="dxa" w:w="7200"/>
            <w:vAlign w:val="center"/>
            <w:tcMar>
              <w:top w:w="100" w:type="dxa"/>
              <w:start w:w="120" w:type="dxa"/>
              <w:bottom w:w="100" w:type="dxa"/>
              <w:end w:w="120" w:type="dxa"/>
            </w:tcMar>
          </w:tcPr>
          <w:p>
            <w:pPr>
              <w:spacing w:after="0"/>
            </w:pPr>
            <w:r>
              <w:rPr>
                <w:sz w:val="18"/>
              </w:rPr>
              <w:t>WEB_CONCURRENCY=1 and APP_REPLICA_COUNT=1</w:t>
            </w:r>
          </w:p>
        </w:tc>
      </w:tr>
      <w:tr>
        <w:trPr>
          <w:cantSplit/>
        </w:trPr>
        <w:tc>
          <w:tcPr>
            <w:tcW w:type="dxa" w:w="2592"/>
            <w:vAlign w:val="center"/>
            <w:tcMar>
              <w:top w:w="100" w:type="dxa"/>
              <w:start w:w="120" w:type="dxa"/>
              <w:bottom w:w="100" w:type="dxa"/>
              <w:end w:w="120" w:type="dxa"/>
            </w:tcMar>
            <w:shd w:fill="EAF2F8"/>
          </w:tcPr>
          <w:p>
            <w:pPr>
              <w:spacing w:after="0"/>
            </w:pPr>
            <w:r>
              <w:rPr>
                <w:sz w:val="18"/>
              </w:rPr>
              <w:t>Catalog search</w:t>
            </w:r>
          </w:p>
        </w:tc>
        <w:tc>
          <w:tcPr>
            <w:tcW w:type="dxa" w:w="7200"/>
            <w:vAlign w:val="center"/>
            <w:tcMar>
              <w:top w:w="100" w:type="dxa"/>
              <w:start w:w="120" w:type="dxa"/>
              <w:bottom w:w="100" w:type="dxa"/>
              <w:end w:w="120" w:type="dxa"/>
            </w:tcMar>
            <w:shd w:fill="EAF2F8"/>
          </w:tcPr>
          <w:p>
            <w:pPr>
              <w:spacing w:after="0"/>
            </w:pPr>
            <w:r>
              <w:rPr>
                <w:sz w:val="18"/>
              </w:rPr>
              <w:t>GIN trigram indexes on product name, description, and brand</w:t>
            </w:r>
          </w:p>
        </w:tc>
      </w:tr>
    </w:tbl>
    <w:p>
      <w:pPr>
        <w:spacing w:after="0"/>
      </w:pPr>
    </w:p>
    <w:p>
      <w:pPr>
        <w:pStyle w:val="Heading1"/>
      </w:pPr>
      <w:r>
        <w:t>Local Development</w:t>
      </w:r>
    </w:p>
    <w:p>
      <w:pPr>
        <w:pStyle w:val="Heading2"/>
      </w:pPr>
      <w:r>
        <w:t>New Database</w:t>
      </w:r>
    </w:p>
    <w:p>
      <w:pPr>
        <w:spacing w:after="60"/>
        <w:ind w:left="403" w:hanging="288"/>
      </w:pPr>
      <w:r>
        <w:t>1.  Create an empty PostgreSQL database in pgAdmin or psql.</w:t>
      </w:r>
    </w:p>
    <w:p>
      <w:pPr>
        <w:spacing w:after="60"/>
        <w:ind w:left="403" w:hanging="288"/>
      </w:pPr>
      <w:r>
        <w:t>2.  Copy .env.example to .env and set DATABASE_URL, SECRET_KEY, and ALLOWED_ORIGINS.</w:t>
      </w:r>
    </w:p>
    <w:p>
      <w:pPr>
        <w:spacing w:after="60"/>
        <w:ind w:left="403" w:hanging="288"/>
      </w:pPr>
      <w:r>
        <w:t>3.  Install the hash locked dependencies.</w:t>
      </w:r>
    </w:p>
    <w:p>
      <w:pPr>
        <w:spacing w:after="60"/>
        <w:ind w:left="403" w:hanging="288"/>
      </w:pPr>
      <w:r>
        <w:t>4.  Run the migration command before starting the API.</w:t>
      </w:r>
    </w:p>
    <w:p>
      <w:pPr>
        <w:spacing w:after="20"/>
        <w:ind w:left="360"/>
      </w:pPr>
      <w:r>
        <w:rPr>
          <w:rFonts w:ascii="Consolas" w:hAnsi="Consolas"/>
          <w:sz w:val="18"/>
        </w:rPr>
        <w:t>python -m pip install --require-hashes -r requirements.txt</w:t>
      </w:r>
    </w:p>
    <w:p>
      <w:pPr>
        <w:spacing w:after="20"/>
        <w:ind w:left="360"/>
      </w:pPr>
      <w:r>
        <w:rPr>
          <w:rFonts w:ascii="Consolas" w:hAnsi="Consolas"/>
          <w:sz w:val="18"/>
        </w:rPr>
        <w:t>python -m scripts.migrate</w:t>
      </w:r>
    </w:p>
    <w:p>
      <w:pPr>
        <w:spacing w:after="20"/>
        <w:ind w:left="360"/>
      </w:pPr>
      <w:r>
        <w:rPr>
          <w:rFonts w:ascii="Consolas" w:hAnsi="Consolas"/>
          <w:sz w:val="18"/>
        </w:rPr>
        <w:t>python -m uvicorn app.main:app --reload</w:t>
      </w:r>
    </w:p>
    <w:p>
      <w:pPr>
        <w:pStyle w:val="Heading2"/>
      </w:pPr>
      <w:r>
        <w:t>Existing Unversioned pgAdmin Database</w:t>
      </w:r>
    </w:p>
    <w:p>
      <w:pPr>
        <w:spacing w:after="60"/>
        <w:ind w:left="403" w:hanging="288"/>
      </w:pPr>
      <w:r>
        <w:t>1.  Take and verify a backup before changing migration state.</w:t>
      </w:r>
    </w:p>
    <w:p>
      <w:pPr>
        <w:spacing w:after="60"/>
        <w:ind w:left="403" w:hanging="288"/>
      </w:pPr>
      <w:r>
        <w:t>2.  Run python -m scripts.adopt_existing_database without flags for a read-only compatibility report.</w:t>
      </w:r>
    </w:p>
    <w:p>
      <w:pPr>
        <w:spacing w:after="60"/>
        <w:ind w:left="403" w:hanging="288"/>
      </w:pPr>
      <w:r>
        <w:t>3.  Stop if the report identifies unknown drift. Do not stamp the database manually.</w:t>
      </w:r>
    </w:p>
    <w:p>
      <w:pPr>
        <w:spacing w:after="60"/>
        <w:ind w:left="403" w:hanging="288"/>
      </w:pPr>
      <w:r>
        <w:t>4.  Run the checker with --apply only after exact compatibility is confirmed and the database name is verified.</w:t>
      </w:r>
    </w:p>
    <w:p>
      <w:pPr>
        <w:spacing w:after="60"/>
        <w:ind w:left="403" w:hanging="288"/>
      </w:pPr>
      <w:r>
        <w:t>5.  Run python -m scripts.migrate to reach the current head.</w:t>
      </w:r>
    </w:p>
    <w:p>
      <w:r>
        <w:t>If alembic_version already exists, do not use the adoption command. Inspect the current revision and migrate normally.</w:t>
      </w:r>
    </w:p>
    <w:p>
      <w:pPr>
        <w:pStyle w:val="Heading1"/>
      </w:pPr>
      <w:r>
        <w:t>Testing and Quality Gates</w:t>
      </w:r>
    </w:p>
    <w:p>
      <w:r>
        <w:t>The backend CI service creates PostgreSQL, installs hash locked dependencies, audits the production graph, applies the full migration chain, and runs contract and PostgreSQL integration tests. Local integration testing uses a disposable database with a guarded name.</w:t>
      </w:r>
    </w:p>
    <w:p>
      <w:pPr>
        <w:spacing w:after="20"/>
        <w:ind w:left="360"/>
      </w:pPr>
      <w:r>
        <w:rPr>
          <w:rFonts w:ascii="Consolas" w:hAnsi="Consolas"/>
          <w:sz w:val="18"/>
        </w:rPr>
        <w:t>$env:DATABASE_URL='postgresql://user:password@localhost:5432/postgres'</w:t>
      </w:r>
    </w:p>
    <w:p>
      <w:pPr>
        <w:spacing w:after="20"/>
        <w:ind w:left="360"/>
      </w:pPr>
      <w:r>
        <w:rPr>
          <w:rFonts w:ascii="Consolas" w:hAnsi="Consolas"/>
          <w:sz w:val="18"/>
        </w:rPr>
        <w:t>python -m scripts.run_postgres_tests</w:t>
      </w:r>
    </w:p>
    <w:p>
      <w:pPr>
        <w:pStyle w:val="ListBullet"/>
        <w:spacing w:after="60"/>
      </w:pPr>
      <w:r>
        <w:t>Never point the disposable test runner at a database account that cannot create and remove isolated test databases.</w:t>
      </w:r>
    </w:p>
    <w:p>
      <w:pPr>
        <w:pStyle w:val="ListBullet"/>
        <w:spacing w:after="60"/>
      </w:pPr>
      <w:r>
        <w:t>The runner manages only database names matching thriftkro_test followed by a generated identifier.</w:t>
      </w:r>
    </w:p>
    <w:p>
      <w:pPr>
        <w:pStyle w:val="ListBullet"/>
        <w:spacing w:after="60"/>
      </w:pPr>
      <w:r>
        <w:t>Frontend changes must pass npm run check, which runs type checking, frontend tests, and the production build.</w:t>
      </w:r>
    </w:p>
    <w:p>
      <w:pPr>
        <w:pStyle w:val="Heading1"/>
      </w:pPr>
      <w:r>
        <w:t>Deployment and Recovery</w:t>
      </w:r>
    </w:p>
    <w:p>
      <w:r>
        <w:t>Railway runs python -m scripts.migrate before starting the web process. The migration command serializes releases with a PostgreSQL advisory lock. Readiness succeeds only when the database is reachable and alembic_version exactly matches the code head.</w:t>
      </w:r>
    </w:p>
    <w:p>
      <w:pPr>
        <w:spacing w:after="60"/>
        <w:ind w:left="403" w:hanging="288"/>
      </w:pPr>
      <w:r>
        <w:t>1.  Back up the database and verify restore readiness before a schema release.</w:t>
      </w:r>
    </w:p>
    <w:p>
      <w:pPr>
        <w:spacing w:after="60"/>
        <w:ind w:left="403" w:hanging="288"/>
      </w:pPr>
      <w:r>
        <w:t>2.  Deploy the exact commit that passed the PostgreSQL backed quality gate.</w:t>
      </w:r>
    </w:p>
    <w:p>
      <w:pPr>
        <w:spacing w:after="60"/>
        <w:ind w:left="403" w:hanging="288"/>
      </w:pPr>
      <w:r>
        <w:t>3.  Allow the pre-deploy migration to finish before the new web process receives traffic.</w:t>
      </w:r>
    </w:p>
    <w:p>
      <w:pPr>
        <w:spacing w:after="60"/>
        <w:ind w:left="403" w:hanging="288"/>
      </w:pPr>
      <w:r>
        <w:t>4.  Verify /health/live, /health/ready, migration state, login, and a read-only catalog request.</w:t>
      </w:r>
    </w:p>
    <w:p>
      <w:pPr>
        <w:spacing w:after="60"/>
        <w:ind w:left="403" w:hanging="288"/>
      </w:pPr>
      <w:r>
        <w:t>5.  Prefer a forward fix after a failed migration. Restore only from a verified backup into a separate database before switching DATABASE_URL.</w:t>
      </w:r>
    </w:p>
    <w:p>
      <w:pPr>
        <w:pStyle w:val="Heading1"/>
        <w:pageBreakBefore/>
      </w:pPr>
      <w:r>
        <w:t>Current Release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cantSplit/>
          <w:tblHeader w:val="true"/>
        </w:trPr>
        <w:tc>
          <w:tcPr>
            <w:tcW w:type="dxa" w:w="2880"/>
            <w:vAlign w:val="center"/>
            <w:shd w:fill="1F4E78"/>
            <w:tcMar>
              <w:top w:w="100" w:type="dxa"/>
              <w:start w:w="120" w:type="dxa"/>
              <w:bottom w:w="100" w:type="dxa"/>
              <w:end w:w="120" w:type="dxa"/>
            </w:tcMar>
          </w:tcPr>
          <w:p>
            <w:pPr>
              <w:jc w:val="center"/>
            </w:pPr>
            <w:r>
              <w:rPr>
                <w:b/>
                <w:color w:val="FFFFFF"/>
                <w:sz w:val="18"/>
              </w:rPr>
              <w:t>Capability</w:t>
            </w:r>
          </w:p>
        </w:tc>
        <w:tc>
          <w:tcPr>
            <w:tcW w:type="dxa" w:w="6912"/>
            <w:vAlign w:val="center"/>
            <w:shd w:fill="1F4E78"/>
            <w:tcMar>
              <w:top w:w="100" w:type="dxa"/>
              <w:start w:w="120" w:type="dxa"/>
              <w:bottom w:w="100" w:type="dxa"/>
              <w:end w:w="120" w:type="dxa"/>
            </w:tcMar>
          </w:tcPr>
          <w:p>
            <w:pPr>
              <w:jc w:val="center"/>
            </w:pPr>
            <w:r>
              <w:rPr>
                <w:b/>
                <w:color w:val="FFFFFF"/>
                <w:sz w:val="18"/>
              </w:rPr>
              <w:t>Current status</w:t>
            </w:r>
          </w:p>
        </w:tc>
      </w:tr>
      <w:tr>
        <w:trPr>
          <w:cantSplit/>
        </w:trPr>
        <w:tc>
          <w:tcPr>
            <w:tcW w:type="dxa" w:w="2880"/>
            <w:vAlign w:val="center"/>
            <w:tcMar>
              <w:top w:w="100" w:type="dxa"/>
              <w:start w:w="120" w:type="dxa"/>
              <w:bottom w:w="100" w:type="dxa"/>
              <w:end w:w="120" w:type="dxa"/>
            </w:tcMar>
          </w:tcPr>
          <w:p>
            <w:pPr>
              <w:spacing w:after="0"/>
            </w:pPr>
            <w:r>
              <w:rPr>
                <w:sz w:val="18"/>
              </w:rPr>
              <w:t>AI product verification</w:t>
            </w:r>
          </w:p>
        </w:tc>
        <w:tc>
          <w:tcPr>
            <w:tcW w:type="dxa" w:w="6912"/>
            <w:vAlign w:val="center"/>
            <w:tcMar>
              <w:top w:w="100" w:type="dxa"/>
              <w:start w:w="120" w:type="dxa"/>
              <w:bottom w:w="100" w:type="dxa"/>
              <w:end w:w="120" w:type="dxa"/>
            </w:tcMar>
          </w:tcPr>
          <w:p>
            <w:pPr>
              <w:spacing w:after="0"/>
            </w:pPr>
            <w:r>
              <w:rPr>
                <w:sz w:val="18"/>
              </w:rPr>
              <w:t>AI product verification is not available in this release; status reads require persisted successful evidence</w:t>
            </w:r>
          </w:p>
        </w:tc>
      </w:tr>
      <w:tr>
        <w:trPr>
          <w:cantSplit/>
        </w:trPr>
        <w:tc>
          <w:tcPr>
            <w:tcW w:type="dxa" w:w="2880"/>
            <w:vAlign w:val="center"/>
            <w:tcMar>
              <w:top w:w="100" w:type="dxa"/>
              <w:start w:w="120" w:type="dxa"/>
              <w:bottom w:w="100" w:type="dxa"/>
              <w:end w:w="120" w:type="dxa"/>
            </w:tcMar>
            <w:shd w:fill="EAF2F8"/>
          </w:tcPr>
          <w:p>
            <w:pPr>
              <w:spacing w:after="0"/>
            </w:pPr>
            <w:r>
              <w:rPr>
                <w:sz w:val="18"/>
              </w:rPr>
              <w:t>Virtual try on</w:t>
            </w:r>
          </w:p>
        </w:tc>
        <w:tc>
          <w:tcPr>
            <w:tcW w:type="dxa" w:w="6912"/>
            <w:vAlign w:val="center"/>
            <w:tcMar>
              <w:top w:w="100" w:type="dxa"/>
              <w:start w:w="120" w:type="dxa"/>
              <w:bottom w:w="100" w:type="dxa"/>
              <w:end w:w="120" w:type="dxa"/>
            </w:tcMar>
            <w:shd w:fill="EAF2F8"/>
          </w:tcPr>
          <w:p>
            <w:pPr>
              <w:spacing w:after="0"/>
            </w:pPr>
            <w:r>
              <w:rPr>
                <w:sz w:val="18"/>
              </w:rPr>
              <w:t>Deferred while a new AI architecture is designed; existing integration routes are not an approved production capability</w:t>
            </w:r>
          </w:p>
        </w:tc>
      </w:tr>
      <w:tr>
        <w:trPr>
          <w:cantSplit/>
        </w:trPr>
        <w:tc>
          <w:tcPr>
            <w:tcW w:type="dxa" w:w="2880"/>
            <w:vAlign w:val="center"/>
            <w:tcMar>
              <w:top w:w="100" w:type="dxa"/>
              <w:start w:w="120" w:type="dxa"/>
              <w:bottom w:w="100" w:type="dxa"/>
              <w:end w:w="120" w:type="dxa"/>
            </w:tcMar>
          </w:tcPr>
          <w:p>
            <w:pPr>
              <w:spacing w:after="0"/>
            </w:pPr>
            <w:r>
              <w:rPr>
                <w:sz w:val="18"/>
              </w:rPr>
              <w:t>Card payments</w:t>
            </w:r>
          </w:p>
        </w:tc>
        <w:tc>
          <w:tcPr>
            <w:tcW w:type="dxa" w:w="6912"/>
            <w:vAlign w:val="center"/>
            <w:tcMar>
              <w:top w:w="100" w:type="dxa"/>
              <w:start w:w="120" w:type="dxa"/>
              <w:bottom w:w="100" w:type="dxa"/>
              <w:end w:w="120" w:type="dxa"/>
            </w:tcMar>
          </w:tcPr>
          <w:p>
            <w:pPr>
              <w:spacing w:after="0"/>
            </w:pPr>
            <w:r>
              <w:rPr>
                <w:sz w:val="18"/>
              </w:rPr>
              <w:t>Unavailable until a verified provider, signed events, idempotency, settlement, refunds, and reconciliation are implemented</w:t>
            </w:r>
          </w:p>
        </w:tc>
      </w:tr>
      <w:tr>
        <w:trPr>
          <w:cantSplit/>
        </w:trPr>
        <w:tc>
          <w:tcPr>
            <w:tcW w:type="dxa" w:w="2880"/>
            <w:vAlign w:val="center"/>
            <w:tcMar>
              <w:top w:w="100" w:type="dxa"/>
              <w:start w:w="120" w:type="dxa"/>
              <w:bottom w:w="100" w:type="dxa"/>
              <w:end w:w="120" w:type="dxa"/>
            </w:tcMar>
            <w:shd w:fill="EAF2F8"/>
          </w:tcPr>
          <w:p>
            <w:pPr>
              <w:spacing w:after="0"/>
            </w:pPr>
            <w:r>
              <w:rPr>
                <w:sz w:val="18"/>
              </w:rPr>
              <w:t>Horizontal chat scaling</w:t>
            </w:r>
          </w:p>
        </w:tc>
        <w:tc>
          <w:tcPr>
            <w:tcW w:type="dxa" w:w="6912"/>
            <w:vAlign w:val="center"/>
            <w:tcMar>
              <w:top w:w="100" w:type="dxa"/>
              <w:start w:w="120" w:type="dxa"/>
              <w:bottom w:w="100" w:type="dxa"/>
              <w:end w:w="120" w:type="dxa"/>
            </w:tcMar>
            <w:shd w:fill="EAF2F8"/>
          </w:tcPr>
          <w:p>
            <w:pPr>
              <w:spacing w:after="0"/>
            </w:pPr>
            <w:r>
              <w:rPr>
                <w:sz w:val="18"/>
              </w:rPr>
              <w:t>Unavailable until a shared delivery backplane replaces process-local socket routing</w:t>
            </w:r>
          </w:p>
        </w:tc>
      </w:tr>
      <w:tr>
        <w:trPr>
          <w:cantSplit/>
        </w:trPr>
        <w:tc>
          <w:tcPr>
            <w:tcW w:type="dxa" w:w="2880"/>
            <w:vAlign w:val="center"/>
            <w:tcMar>
              <w:top w:w="100" w:type="dxa"/>
              <w:start w:w="120" w:type="dxa"/>
              <w:bottom w:w="100" w:type="dxa"/>
              <w:end w:w="120" w:type="dxa"/>
            </w:tcMar>
          </w:tcPr>
          <w:p>
            <w:pPr>
              <w:spacing w:after="0"/>
            </w:pPr>
            <w:r>
              <w:rPr>
                <w:sz w:val="18"/>
              </w:rPr>
              <w:t>KYC production submission</w:t>
            </w:r>
          </w:p>
        </w:tc>
        <w:tc>
          <w:tcPr>
            <w:tcW w:type="dxa" w:w="6912"/>
            <w:vAlign w:val="center"/>
            <w:tcMar>
              <w:top w:w="100" w:type="dxa"/>
              <w:start w:w="120" w:type="dxa"/>
              <w:bottom w:w="100" w:type="dxa"/>
              <w:end w:w="120" w:type="dxa"/>
            </w:tcMar>
          </w:tcPr>
          <w:p>
            <w:pPr>
              <w:spacing w:after="0"/>
            </w:pPr>
            <w:r>
              <w:rPr>
                <w:sz w:val="18"/>
              </w:rPr>
              <w:t>Fail closed until the private storage and retention policy is fully configured</w:t>
            </w:r>
          </w:p>
        </w:tc>
      </w:tr>
      <w:tr>
        <w:trPr>
          <w:cantSplit/>
        </w:trPr>
        <w:tc>
          <w:tcPr>
            <w:tcW w:type="dxa" w:w="2880"/>
            <w:vAlign w:val="center"/>
            <w:tcMar>
              <w:top w:w="100" w:type="dxa"/>
              <w:start w:w="120" w:type="dxa"/>
              <w:bottom w:w="100" w:type="dxa"/>
              <w:end w:w="120" w:type="dxa"/>
            </w:tcMar>
            <w:shd w:fill="EAF2F8"/>
          </w:tcPr>
          <w:p>
            <w:pPr>
              <w:spacing w:after="0"/>
            </w:pPr>
            <w:r>
              <w:rPr>
                <w:sz w:val="18"/>
              </w:rPr>
              <w:t>Legacy Database folder</w:t>
            </w:r>
          </w:p>
        </w:tc>
        <w:tc>
          <w:tcPr>
            <w:tcW w:type="dxa" w:w="6912"/>
            <w:vAlign w:val="center"/>
            <w:tcMar>
              <w:top w:w="100" w:type="dxa"/>
              <w:start w:w="120" w:type="dxa"/>
              <w:bottom w:w="100" w:type="dxa"/>
              <w:end w:w="120" w:type="dxa"/>
            </w:tcMar>
            <w:shd w:fill="EAF2F8"/>
          </w:tcPr>
          <w:p>
            <w:pPr>
              <w:spacing w:after="0"/>
            </w:pPr>
            <w:r>
              <w:rPr>
                <w:sz w:val="18"/>
              </w:rPr>
              <w:t>Reference only; never use it to initialize or migrate an application database</w:t>
            </w:r>
          </w:p>
        </w:tc>
      </w:tr>
    </w:tbl>
    <w:p>
      <w:pPr>
        <w:spacing w:after="0"/>
      </w:pPr>
    </w:p>
    <w:p>
      <w:pPr>
        <w:pStyle w:val="Heading1"/>
      </w:pPr>
      <w:r>
        <w:t>Operator Checklist</w:t>
      </w:r>
    </w:p>
    <w:p>
      <w:pPr>
        <w:pStyle w:val="ListBullet"/>
        <w:spacing w:after="60"/>
      </w:pPr>
      <w:r>
        <w:t>Confirm the target database and backup before every migration.</w:t>
      </w:r>
    </w:p>
    <w:p>
      <w:pPr>
        <w:pStyle w:val="ListBullet"/>
        <w:spacing w:after="60"/>
      </w:pPr>
      <w:r>
        <w:t>Confirm the committed Alembic head matches the deployed application.</w:t>
      </w:r>
    </w:p>
    <w:p>
      <w:pPr>
        <w:pStyle w:val="ListBullet"/>
        <w:spacing w:after="60"/>
      </w:pPr>
      <w:r>
        <w:t>Keep secrets and service credentials in environment configuration, never source control.</w:t>
      </w:r>
    </w:p>
    <w:p>
      <w:pPr>
        <w:pStyle w:val="ListBullet"/>
        <w:spacing w:after="60"/>
      </w:pPr>
      <w:r>
        <w:t>Keep one worker and one replica while chat delivery remains process local.</w:t>
      </w:r>
    </w:p>
    <w:p>
      <w:pPr>
        <w:pStyle w:val="ListBullet"/>
        <w:spacing w:after="60"/>
      </w:pPr>
      <w:r>
        <w:t>Treat AI, VTON, and card functionality as unavailable until separately reviewed for release.</w:t>
      </w:r>
    </w:p>
    <w:p>
      <w:pPr>
        <w:pStyle w:val="ListBullet"/>
        <w:spacing w:after="60"/>
      </w:pPr>
      <w:r>
        <w:t>Use source code, migrations, generated OpenAPI, and tests when this guide and behavior disagree, then correct the guide in the same change.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Thrift Kro Backend Architecture and Operations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Thrift Kro Backend Architecture and Operations Guide</dc:title>
  <dc:subject>Current backend architecture, API, database, and operations</dc:subject>
  <dc:creator>Thrift Kro Engineering</dc:creator>
  <cp:keywords/>
  <dc:description>Verified against the implementation on 16 October 2026</dc:description>
  <cp:lastModifiedBy/>
  <cp:revision>1</cp:revision>
  <dcterms:created xsi:type="dcterms:W3CDTF">2013-12-23T23:15:00Z</dcterms:created>
  <dcterms:modified xsi:type="dcterms:W3CDTF">2013-12-23T23:15:00Z</dcterms:modified>
  <cp:category/>
</cp:coreProperties>
</file>