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Data Flow Document</w:t>
      </w:r>
    </w:p>
    <w:p>
      <w:pPr>
        <w:spacing w:after="400"/>
        <w:jc w:val="center"/>
      </w:pPr>
      <w:r>
        <w:rPr>
          <w:b/>
          <w:bCs/>
          <w:color w:val="2E74B5"/>
          <w:sz w:val="30"/>
          <w:szCs w:val="30"/>
        </w:rPr>
        <w:t xml:space="preserve">AI-Powered Vinyl Wrapping Visualization System</w:t>
      </w:r>
    </w:p>
    <w:p>
      <w:pPr>
        <w:spacing w:after="800"/>
        <w:jc w:val="center"/>
      </w:pPr>
      <w:r>
        <w:rPr>
          <w:i/>
          <w:iCs/>
          <w:color w:val="595959"/>
          <w:sz w:val="22"/>
          <w:szCs w:val="22"/>
        </w:rPr>
        <w:t xml:space="preserve">How data moves between users, processes, and storage</w:t>
      </w:r>
    </w:p>
    <w:tbl>
      <w:tblPr>
        <w:tblW w:type="dxa" w:w="9708"/>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6708"/>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6708"/>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3000"/>
            <w:tcMar>
              <w:top w:type="dxa" w:w="80"/>
              <w:left w:type="dxa" w:w="100"/>
              <w:bottom w:type="dxa" w:w="80"/>
              <w:right w:type="dxa" w:w="100"/>
            </w:tcMar>
            <w:vAlign w:val="center"/>
          </w:tcPr>
          <w:p>
            <w:r>
              <w:rPr>
                <w:b w:val="false"/>
                <w:bCs w:val="false"/>
                <w:sz w:val="19"/>
                <w:szCs w:val="19"/>
              </w:rPr>
              <w:t xml:space="preserve">Companion Documents</w:t>
            </w:r>
          </w:p>
        </w:tc>
        <w:tc>
          <w:tcPr>
            <w:tcW w:type="dxa" w:w="6708"/>
            <w:tcMar>
              <w:top w:type="dxa" w:w="80"/>
              <w:left w:type="dxa" w:w="100"/>
              <w:bottom w:type="dxa" w:w="80"/>
              <w:right w:type="dxa" w:w="100"/>
            </w:tcMar>
            <w:vAlign w:val="center"/>
          </w:tcPr>
          <w:p>
            <w:r>
              <w:rPr>
                <w:b w:val="false"/>
                <w:bCs w:val="false"/>
                <w:sz w:val="19"/>
                <w:szCs w:val="19"/>
              </w:rPr>
              <w:t xml:space="preserve">PRD v1.0, App Flow Document v1.0</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Status</w:t>
            </w:r>
          </w:p>
        </w:tc>
        <w:tc>
          <w:tcPr>
            <w:tcW w:type="dxa" w:w="6708"/>
            <w:shd w:fill="F2F2F2" w:val="clear"/>
            <w:tcMar>
              <w:top w:type="dxa" w:w="80"/>
              <w:left w:type="dxa" w:w="100"/>
              <w:bottom w:type="dxa" w:w="80"/>
              <w:right w:type="dxa" w:w="100"/>
            </w:tcMar>
            <w:vAlign w:val="center"/>
          </w:tcPr>
          <w:p>
            <w:r>
              <w:rPr>
                <w:b w:val="false"/>
                <w:bCs w:val="false"/>
                <w:sz w:val="19"/>
                <w:szCs w:val="19"/>
              </w:rPr>
              <w:t xml:space="preserve">Draft v1.0</w:t>
            </w:r>
          </w:p>
        </w:tc>
      </w:tr>
      <w:tr>
        <w:tc>
          <w:tcPr>
            <w:tcW w:type="dxa" w:w="3000"/>
            <w:tcMar>
              <w:top w:type="dxa" w:w="80"/>
              <w:left w:type="dxa" w:w="100"/>
              <w:bottom w:type="dxa" w:w="80"/>
              <w:right w:type="dxa" w:w="100"/>
            </w:tcMar>
            <w:vAlign w:val="center"/>
          </w:tcPr>
          <w:p>
            <w:r>
              <w:rPr>
                <w:b w:val="false"/>
                <w:bCs w:val="false"/>
                <w:sz w:val="19"/>
                <w:szCs w:val="19"/>
              </w:rPr>
              <w:t xml:space="preserve">Date</w:t>
            </w:r>
          </w:p>
        </w:tc>
        <w:tc>
          <w:tcPr>
            <w:tcW w:type="dxa" w:w="6708"/>
            <w:tcMar>
              <w:top w:type="dxa" w:w="80"/>
              <w:left w:type="dxa" w:w="100"/>
              <w:bottom w:type="dxa" w:w="80"/>
              <w:right w:type="dxa" w:w="100"/>
            </w:tcMar>
            <w:vAlign w:val="center"/>
          </w:tcPr>
          <w:p>
            <w:r>
              <w:rPr>
                <w:b w:val="false"/>
                <w:bCs w:val="false"/>
                <w:sz w:val="19"/>
                <w:szCs w:val="19"/>
              </w:rPr>
              <w:t xml:space="preserve">August 1, 2026</w:t>
            </w:r>
          </w:p>
        </w:tc>
      </w:tr>
    </w:tbl>
    <w:p>
      <w:r>
        <w:br w:type="page"/>
      </w:r>
    </w:p>
    <w:p>
      <w:pPr>
        <w:spacing w:after="300"/>
      </w:pPr>
      <w:r>
        <w:rPr>
          <w:b/>
          <w:bCs/>
          <w:color w:val="1F3864"/>
          <w:sz w:val="32"/>
          <w:szCs w:val="32"/>
        </w:rPr>
        <w:t xml:space="preserve">Table of Contents</w:t>
      </w:r>
    </w:p>
    <w:p>
      <w:pPr>
        <w:spacing w:after="120"/>
      </w:pPr>
      <w:r>
        <w:rPr>
          <w:b/>
          <w:bCs/>
          <w:color w:val="1F3864"/>
          <w:sz w:val="22"/>
          <w:szCs w:val="22"/>
        </w:rPr>
        <w:t xml:space="preserve">1. Overview</w:t>
      </w:r>
      <w:ptab w:alignment="right" w:relativeTo="margin" w:leader="dot"/>
      <w:r>
        <w:rPr>
          <w:sz w:val="22"/>
          <w:szCs w:val="22"/>
        </w:rPr>
        <w:t xml:space="preserve">3</w:t>
      </w:r>
    </w:p>
    <w:p>
      <w:pPr>
        <w:spacing w:after="120"/>
      </w:pPr>
      <w:r>
        <w:rPr>
          <w:b/>
          <w:bCs/>
          <w:color w:val="1F3864"/>
          <w:sz w:val="22"/>
          <w:szCs w:val="22"/>
        </w:rPr>
        <w:t xml:space="preserve">2. Notation Legend</w:t>
      </w:r>
      <w:ptab w:alignment="right" w:relativeTo="margin" w:leader="dot"/>
      <w:r>
        <w:rPr>
          <w:sz w:val="22"/>
          <w:szCs w:val="22"/>
        </w:rPr>
        <w:t xml:space="preserve">3</w:t>
      </w:r>
    </w:p>
    <w:p>
      <w:pPr>
        <w:spacing w:after="120"/>
      </w:pPr>
      <w:r>
        <w:rPr>
          <w:b/>
          <w:bCs/>
          <w:color w:val="1F3864"/>
          <w:sz w:val="22"/>
          <w:szCs w:val="22"/>
        </w:rPr>
        <w:t xml:space="preserve">3. Context Diagram (Level 0)</w:t>
      </w:r>
      <w:ptab w:alignment="right" w:relativeTo="margin" w:leader="dot"/>
      <w:r>
        <w:rPr>
          <w:sz w:val="22"/>
          <w:szCs w:val="22"/>
        </w:rPr>
        <w:t xml:space="preserve">3</w:t>
      </w:r>
    </w:p>
    <w:p>
      <w:pPr>
        <w:spacing w:after="120"/>
      </w:pPr>
      <w:r>
        <w:rPr>
          <w:b/>
          <w:bCs/>
          <w:color w:val="1F3864"/>
          <w:sz w:val="22"/>
          <w:szCs w:val="22"/>
        </w:rPr>
        <w:t xml:space="preserve">4. Level 1 Data Flow Diagram</w:t>
      </w:r>
      <w:ptab w:alignment="right" w:relativeTo="margin" w:leader="dot"/>
      <w:r>
        <w:rPr>
          <w:sz w:val="22"/>
          <w:szCs w:val="22"/>
        </w:rPr>
        <w:t xml:space="preserve">4</w:t>
      </w:r>
    </w:p>
    <w:p>
      <w:pPr>
        <w:spacing w:after="120"/>
      </w:pPr>
      <w:r>
        <w:rPr>
          <w:b/>
          <w:bCs/>
          <w:color w:val="1F3864"/>
          <w:sz w:val="22"/>
          <w:szCs w:val="22"/>
        </w:rPr>
        <w:t xml:space="preserve">5. External Entities</w:t>
      </w:r>
      <w:ptab w:alignment="right" w:relativeTo="margin" w:leader="dot"/>
      <w:r>
        <w:rPr>
          <w:sz w:val="22"/>
          <w:szCs w:val="22"/>
        </w:rPr>
        <w:t xml:space="preserve">5</w:t>
      </w:r>
    </w:p>
    <w:p>
      <w:pPr>
        <w:spacing w:after="120"/>
      </w:pPr>
      <w:r>
        <w:rPr>
          <w:b/>
          <w:bCs/>
          <w:color w:val="1F3864"/>
          <w:sz w:val="22"/>
          <w:szCs w:val="22"/>
        </w:rPr>
        <w:t xml:space="preserve">6. Process Descriptions</w:t>
      </w:r>
      <w:ptab w:alignment="right" w:relativeTo="margin" w:leader="dot"/>
      <w:r>
        <w:rPr>
          <w:sz w:val="22"/>
          <w:szCs w:val="22"/>
        </w:rPr>
        <w:t xml:space="preserve">5</w:t>
      </w:r>
    </w:p>
    <w:p>
      <w:pPr>
        <w:spacing w:after="120"/>
      </w:pPr>
      <w:r>
        <w:rPr>
          <w:b/>
          <w:bCs/>
          <w:color w:val="1F3864"/>
          <w:sz w:val="22"/>
          <w:szCs w:val="22"/>
        </w:rPr>
        <w:t xml:space="preserve">7. Data Stores</w:t>
      </w:r>
      <w:ptab w:alignment="right" w:relativeTo="margin" w:leader="dot"/>
      <w:r>
        <w:rPr>
          <w:sz w:val="22"/>
          <w:szCs w:val="22"/>
        </w:rPr>
        <w:t xml:space="preserve">6</w:t>
      </w:r>
    </w:p>
    <w:p>
      <w:pPr>
        <w:spacing w:after="120"/>
      </w:pPr>
      <w:r>
        <w:rPr>
          <w:b/>
          <w:bCs/>
          <w:color w:val="1F3864"/>
          <w:sz w:val="22"/>
          <w:szCs w:val="22"/>
        </w:rPr>
        <w:t xml:space="preserve">8. Data Dictionary</w:t>
      </w:r>
      <w:ptab w:alignment="right" w:relativeTo="margin" w:leader="dot"/>
      <w:r>
        <w:rPr>
          <w:sz w:val="22"/>
          <w:szCs w:val="22"/>
        </w:rPr>
        <w:t xml:space="preserve">6</w:t>
      </w:r>
    </w:p>
    <w:p>
      <w:pPr>
        <w:spacing w:after="120"/>
      </w:pPr>
      <w:r>
        <w:rPr>
          <w:b/>
          <w:bCs/>
          <w:color w:val="1F3864"/>
          <w:sz w:val="22"/>
          <w:szCs w:val="22"/>
        </w:rPr>
        <w:t xml:space="preserve">9. Data Flow Narrative (End-to-End)</w:t>
      </w:r>
      <w:ptab w:alignment="right" w:relativeTo="margin" w:leader="dot"/>
      <w:r>
        <w:rPr>
          <w:sz w:val="22"/>
          <w:szCs w:val="22"/>
        </w:rPr>
        <w:t xml:space="preserve">7</w:t>
      </w:r>
    </w:p>
    <w:p>
      <w:pPr>
        <w:spacing w:after="120"/>
      </w:pPr>
      <w:r>
        <w:rPr>
          <w:b/>
          <w:bCs/>
          <w:color w:val="1F3864"/>
          <w:sz w:val="22"/>
          <w:szCs w:val="22"/>
        </w:rPr>
        <w:t xml:space="preserve">10. Data Retention &amp; Access Notes</w:t>
      </w:r>
      <w:ptab w:alignment="right" w:relativeTo="margin" w:leader="dot"/>
      <w:r>
        <w:rPr>
          <w:sz w:val="22"/>
          <w:szCs w:val="22"/>
        </w:rPr>
        <w:t xml:space="preserve">7</w:t>
      </w:r>
    </w:p>
    <w:p>
      <w:r>
        <w:br w:type="page"/>
      </w:r>
    </w:p>
    <w:p>
      <w:pPr>
        <w:pStyle w:val="Heading1"/>
        <w:spacing w:after="160" w:before="360"/>
      </w:pPr>
      <w:r>
        <w:t xml:space="preserve">1. Overview</w:t>
      </w:r>
    </w:p>
    <w:p>
      <w:pPr>
        <w:spacing w:after="160"/>
      </w:pPr>
      <w:r>
        <w:t xml:space="preserve">This Data Flow Document describes how data moves through the AI-Powered Vinyl Wrapping Visualization System — from the moment a user uploads a room photo, through AI processing, to the final stored visualization and any downstream quotation or installer hand-off. It complements the PRD (feature scope) and App Flow Document (screen navigation) with a data-centric view suitable for engineering and data-privacy review.</w:t>
      </w:r>
    </w:p>
    <w:p>
      <w:pPr>
        <w:pStyle w:val="Heading1"/>
        <w:spacing w:after="160" w:before="360"/>
      </w:pPr>
      <w:r>
        <w:t xml:space="preserve">2. Notation Legend</w:t>
      </w:r>
    </w:p>
    <w:p>
      <w:pPr>
        <w:spacing w:after="160"/>
      </w:pPr>
      <w:r>
        <w:t xml:space="preserve">Diagrams in this document use simplified Gane-Sarson data flow notation:</w:t>
      </w:r>
    </w:p>
    <w:p>
      <w:pPr>
        <w:pStyle w:val="ListParagraph"/>
        <w:numPr>
          <w:ilvl w:val="0"/>
          <w:numId w:val="2"/>
        </w:numPr>
        <w:spacing w:after="60"/>
      </w:pPr>
      <w:r>
        <w:t xml:space="preserve">External Entity (solid navy rectangle) — a person or system outside the platform that sends or receives data (e.g., Homeowner, Company Admin, Vinyl Installer).</w:t>
      </w:r>
    </w:p>
    <w:p>
      <w:pPr>
        <w:pStyle w:val="ListParagraph"/>
        <w:numPr>
          <w:ilvl w:val="0"/>
          <w:numId w:val="2"/>
        </w:numPr>
        <w:spacing w:after="60"/>
      </w:pPr>
      <w:r>
        <w:t xml:space="preserve">Process (rounded rectangle, numbered) — a function that transforms or acts on data (e.g., Surface Segmentation).</w:t>
      </w:r>
    </w:p>
    <w:p>
      <w:pPr>
        <w:pStyle w:val="ListParagraph"/>
        <w:numPr>
          <w:ilvl w:val="0"/>
          <w:numId w:val="2"/>
        </w:numPr>
        <w:spacing w:after="60"/>
      </w:pPr>
      <w:r>
        <w:t xml:space="preserve">Data Store (open rectangle, labeled D#) — a persistent data repository (e.g., a database or object storage bucket).</w:t>
      </w:r>
    </w:p>
    <w:p>
      <w:pPr>
        <w:pStyle w:val="ListParagraph"/>
        <w:numPr>
          <w:ilvl w:val="0"/>
          <w:numId w:val="2"/>
        </w:numPr>
        <w:spacing w:after="60"/>
      </w:pPr>
      <w:r>
        <w:t xml:space="preserve">Arrow — a labeled data flow indicating what data moves and in which direction.</w:t>
      </w:r>
    </w:p>
    <w:p>
      <w:pPr>
        <w:pStyle w:val="Heading1"/>
        <w:spacing w:after="160" w:before="360"/>
      </w:pPr>
      <w:r>
        <w:t xml:space="preserve">3. Context Diagram (Level 0)</w:t>
      </w:r>
    </w:p>
    <w:p>
      <w:pPr>
        <w:spacing w:after="160"/>
      </w:pPr>
      <w:r>
        <w:t xml:space="preserve">At the highest level, the entire platform is a single process exchanging data with three external entities:</w:t>
      </w:r>
    </w:p>
    <w:p>
      <w:pPr>
        <w:pStyle w:val="ListParagraph"/>
        <w:numPr>
          <w:ilvl w:val="0"/>
          <w:numId w:val="2"/>
        </w:numPr>
        <w:spacing w:after="60"/>
      </w:pPr>
      <w:r>
        <w:t xml:space="preserve">Homeowner / Sales Representative — sends room photos, surface selections, and vinyl selections; receives visualization previews, downloads, and quotations.</w:t>
      </w:r>
    </w:p>
    <w:p>
      <w:pPr>
        <w:pStyle w:val="ListParagraph"/>
        <w:numPr>
          <w:ilvl w:val="0"/>
          <w:numId w:val="2"/>
        </w:numPr>
        <w:spacing w:after="60"/>
      </w:pPr>
      <w:r>
        <w:t xml:space="preserve">Company Admin (Tenant) — sends vinyl catalogue uploads and metadata; receives confirmation of catalogue updates.</w:t>
      </w:r>
    </w:p>
    <w:p>
      <w:pPr>
        <w:pStyle w:val="ListParagraph"/>
        <w:numPr>
          <w:ilvl w:val="0"/>
          <w:numId w:val="2"/>
        </w:numPr>
        <w:spacing w:after="60"/>
      </w:pPr>
      <w:r>
        <w:t xml:space="preserve">Vinyl Installer — sends login credentials; receives the approved visualization and quotation summary for a job.</w:t>
      </w:r>
    </w:p>
    <w:p>
      <w:pPr>
        <w:spacing w:after="160"/>
      </w:pPr>
      <w:r>
        <w:t xml:space="preserve">The Level 1 diagram in Section 4 expands this single process into its constituent processes and data stores.</w:t>
      </w:r>
    </w:p>
    <w:p>
      <w:pPr>
        <w:pStyle w:val="Heading1"/>
        <w:spacing w:after="160" w:before="360"/>
      </w:pPr>
      <w:r>
        <w:t xml:space="preserve">4. Level 1 Data Flow Diagram</w:t>
      </w:r>
    </w:p>
    <w:p>
      <w:pPr>
        <w:spacing w:after="20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19550"/>
                    </a:xfrm>
                    <a:prstGeom prst="rect">
                      <a:avLst/>
                    </a:prstGeom>
                  </pic:spPr>
                </pic:pic>
              </a:graphicData>
            </a:graphic>
          </wp:inline>
        </w:drawing>
      </w:r>
    </w:p>
    <w:p>
      <w:pPr>
        <w:spacing w:after="160"/>
      </w:pPr>
      <w:r>
        <w:t xml:space="preserve">The dashed arrow from Post-Processing &amp; Output Generation back to the Homeowner / Sales Representative represents the visualization preview returned at the end of the core pipeline (Processes 1–6). Processes 7–9 support catalogue management, project history, and quotation generation respectively, each reading from and writing to their own data store.</w:t>
      </w:r>
    </w:p>
    <w:p>
      <w:r>
        <w:br w:type="page"/>
      </w:r>
    </w:p>
    <w:p>
      <w:pPr>
        <w:pStyle w:val="Heading1"/>
        <w:spacing w:after="160" w:before="360"/>
      </w:pPr>
      <w:r>
        <w:t xml:space="preserve">5. External Entities</w:t>
      </w:r>
    </w:p>
    <w:tbl>
      <w:tblPr>
        <w:tblW w:type="dxa" w:w="9008"/>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3400"/>
        <w:gridCol w:w="3008"/>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Entity</w:t>
            </w:r>
          </w:p>
        </w:tc>
        <w:tc>
          <w:tcPr>
            <w:tcW w:type="dxa" w:w="3400"/>
            <w:shd w:fill="1F3864" w:val="clear"/>
            <w:tcMar>
              <w:top w:type="dxa" w:w="80"/>
              <w:left w:type="dxa" w:w="100"/>
              <w:bottom w:type="dxa" w:w="80"/>
              <w:right w:type="dxa" w:w="100"/>
            </w:tcMar>
            <w:vAlign w:val="center"/>
          </w:tcPr>
          <w:p>
            <w:r>
              <w:rPr>
                <w:b/>
                <w:bCs/>
                <w:color w:val="FFFFFF"/>
                <w:sz w:val="19"/>
                <w:szCs w:val="19"/>
              </w:rPr>
              <w:t xml:space="preserve">Sends to System</w:t>
            </w:r>
          </w:p>
        </w:tc>
        <w:tc>
          <w:tcPr>
            <w:tcW w:type="dxa" w:w="3008"/>
            <w:shd w:fill="1F3864" w:val="clear"/>
            <w:tcMar>
              <w:top w:type="dxa" w:w="80"/>
              <w:left w:type="dxa" w:w="100"/>
              <w:bottom w:type="dxa" w:w="80"/>
              <w:right w:type="dxa" w:w="100"/>
            </w:tcMar>
            <w:vAlign w:val="center"/>
          </w:tcPr>
          <w:p>
            <w:r>
              <w:rPr>
                <w:b/>
                <w:bCs/>
                <w:color w:val="FFFFFF"/>
                <w:sz w:val="19"/>
                <w:szCs w:val="19"/>
              </w:rPr>
              <w:t xml:space="preserve">Receives from System</w:t>
            </w:r>
          </w:p>
        </w:tc>
      </w:tr>
      <w:tr>
        <w:tc>
          <w:tcPr>
            <w:tcW w:type="dxa" w:w="2600"/>
            <w:tcMar>
              <w:top w:type="dxa" w:w="80"/>
              <w:left w:type="dxa" w:w="100"/>
              <w:bottom w:type="dxa" w:w="80"/>
              <w:right w:type="dxa" w:w="100"/>
            </w:tcMar>
            <w:vAlign w:val="center"/>
          </w:tcPr>
          <w:p>
            <w:r>
              <w:rPr>
                <w:b w:val="false"/>
                <w:bCs w:val="false"/>
                <w:sz w:val="19"/>
                <w:szCs w:val="19"/>
              </w:rPr>
              <w:t xml:space="preserve">Homeowner / Sales Representative</w:t>
            </w:r>
          </w:p>
        </w:tc>
        <w:tc>
          <w:tcPr>
            <w:tcW w:type="dxa" w:w="3400"/>
            <w:tcMar>
              <w:top w:type="dxa" w:w="80"/>
              <w:left w:type="dxa" w:w="100"/>
              <w:bottom w:type="dxa" w:w="80"/>
              <w:right w:type="dxa" w:w="100"/>
            </w:tcMar>
            <w:vAlign w:val="center"/>
          </w:tcPr>
          <w:p>
            <w:r>
              <w:rPr>
                <w:b w:val="false"/>
                <w:bCs w:val="false"/>
                <w:sz w:val="19"/>
                <w:szCs w:val="19"/>
              </w:rPr>
              <w:t xml:space="preserve">Login credentials, room photo, surface selection, vinyl selection, quotation inputs (Sales Rep)</w:t>
            </w:r>
          </w:p>
        </w:tc>
        <w:tc>
          <w:tcPr>
            <w:tcW w:type="dxa" w:w="3008"/>
            <w:tcMar>
              <w:top w:type="dxa" w:w="80"/>
              <w:left w:type="dxa" w:w="100"/>
              <w:bottom w:type="dxa" w:w="80"/>
              <w:right w:type="dxa" w:w="100"/>
            </w:tcMar>
            <w:vAlign w:val="center"/>
          </w:tcPr>
          <w:p>
            <w:r>
              <w:rPr>
                <w:b w:val="false"/>
                <w:bCs w:val="false"/>
                <w:sz w:val="19"/>
                <w:szCs w:val="19"/>
              </w:rPr>
              <w:t xml:space="preserve">Session token, visualization preview, downloadable image, quotation summary</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Company Admin (Tenant)</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Vinyl texture uploads, catalogue metadata, team/branding settings</w:t>
            </w:r>
          </w:p>
        </w:tc>
        <w:tc>
          <w:tcPr>
            <w:tcW w:type="dxa" w:w="3008"/>
            <w:shd w:fill="F2F2F2" w:val="clear"/>
            <w:tcMar>
              <w:top w:type="dxa" w:w="80"/>
              <w:left w:type="dxa" w:w="100"/>
              <w:bottom w:type="dxa" w:w="80"/>
              <w:right w:type="dxa" w:w="100"/>
            </w:tcMar>
            <w:vAlign w:val="center"/>
          </w:tcPr>
          <w:p>
            <w:r>
              <w:rPr>
                <w:b w:val="false"/>
                <w:bCs w:val="false"/>
                <w:sz w:val="19"/>
                <w:szCs w:val="19"/>
              </w:rPr>
              <w:t xml:space="preserve">Catalogue update confirmation</w:t>
            </w:r>
          </w:p>
        </w:tc>
      </w:tr>
      <w:tr>
        <w:tc>
          <w:tcPr>
            <w:tcW w:type="dxa" w:w="2600"/>
            <w:tcMar>
              <w:top w:type="dxa" w:w="80"/>
              <w:left w:type="dxa" w:w="100"/>
              <w:bottom w:type="dxa" w:w="80"/>
              <w:right w:type="dxa" w:w="100"/>
            </w:tcMar>
            <w:vAlign w:val="center"/>
          </w:tcPr>
          <w:p>
            <w:r>
              <w:rPr>
                <w:b w:val="false"/>
                <w:bCs w:val="false"/>
                <w:sz w:val="19"/>
                <w:szCs w:val="19"/>
              </w:rPr>
              <w:t xml:space="preserve">Vinyl Installer</w:t>
            </w:r>
          </w:p>
        </w:tc>
        <w:tc>
          <w:tcPr>
            <w:tcW w:type="dxa" w:w="3400"/>
            <w:tcMar>
              <w:top w:type="dxa" w:w="80"/>
              <w:left w:type="dxa" w:w="100"/>
              <w:bottom w:type="dxa" w:w="80"/>
              <w:right w:type="dxa" w:w="100"/>
            </w:tcMar>
            <w:vAlign w:val="center"/>
          </w:tcPr>
          <w:p>
            <w:r>
              <w:rPr>
                <w:b w:val="false"/>
                <w:bCs w:val="false"/>
                <w:sz w:val="19"/>
                <w:szCs w:val="19"/>
              </w:rPr>
              <w:t xml:space="preserve">Login credentials</w:t>
            </w:r>
          </w:p>
        </w:tc>
        <w:tc>
          <w:tcPr>
            <w:tcW w:type="dxa" w:w="3008"/>
            <w:tcMar>
              <w:top w:type="dxa" w:w="80"/>
              <w:left w:type="dxa" w:w="100"/>
              <w:bottom w:type="dxa" w:w="80"/>
              <w:right w:type="dxa" w:w="100"/>
            </w:tcMar>
            <w:vAlign w:val="center"/>
          </w:tcPr>
          <w:p>
            <w:r>
              <w:rPr>
                <w:b w:val="false"/>
                <w:bCs w:val="false"/>
                <w:sz w:val="19"/>
                <w:szCs w:val="19"/>
              </w:rPr>
              <w:t xml:space="preserve">Approved visualization, selected surfaces/vinyl details, quotation summary</w:t>
            </w:r>
          </w:p>
        </w:tc>
      </w:tr>
    </w:tbl>
    <w:p>
      <w:pPr>
        <w:pStyle w:val="Heading1"/>
        <w:spacing w:after="160" w:before="360"/>
      </w:pPr>
      <w:r>
        <w:t xml:space="preserve">6. Process Descriptions</w:t>
      </w:r>
    </w:p>
    <w:tbl>
      <w:tblPr>
        <w:tblW w:type="dxa" w:w="9008"/>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2400"/>
        <w:gridCol w:w="3100"/>
        <w:gridCol w:w="3008"/>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Process</w:t>
            </w:r>
          </w:p>
        </w:tc>
        <w:tc>
          <w:tcPr>
            <w:tcW w:type="dxa" w:w="3100"/>
            <w:shd w:fill="1F3864" w:val="clear"/>
            <w:tcMar>
              <w:top w:type="dxa" w:w="80"/>
              <w:left w:type="dxa" w:w="100"/>
              <w:bottom w:type="dxa" w:w="80"/>
              <w:right w:type="dxa" w:w="100"/>
            </w:tcMar>
            <w:vAlign w:val="center"/>
          </w:tcPr>
          <w:p>
            <w:r>
              <w:rPr>
                <w:b/>
                <w:bCs/>
                <w:color w:val="FFFFFF"/>
                <w:sz w:val="19"/>
                <w:szCs w:val="19"/>
              </w:rPr>
              <w:t xml:space="preserve">Inputs</w:t>
            </w:r>
          </w:p>
        </w:tc>
        <w:tc>
          <w:tcPr>
            <w:tcW w:type="dxa" w:w="3008"/>
            <w:shd w:fill="1F3864" w:val="clear"/>
            <w:tcMar>
              <w:top w:type="dxa" w:w="80"/>
              <w:left w:type="dxa" w:w="100"/>
              <w:bottom w:type="dxa" w:w="80"/>
              <w:right w:type="dxa" w:w="100"/>
            </w:tcMar>
            <w:vAlign w:val="center"/>
          </w:tcPr>
          <w:p>
            <w:r>
              <w:rPr>
                <w:b/>
                <w:bCs/>
                <w:color w:val="FFFFFF"/>
                <w:sz w:val="19"/>
                <w:szCs w:val="19"/>
              </w:rPr>
              <w:t xml:space="preserve">Outputs</w:t>
            </w:r>
          </w:p>
        </w:tc>
      </w:tr>
      <w:tr>
        <w:tc>
          <w:tcPr>
            <w:tcW w:type="dxa" w:w="500"/>
            <w:tcMar>
              <w:top w:type="dxa" w:w="80"/>
              <w:left w:type="dxa" w:w="100"/>
              <w:bottom w:type="dxa" w:w="80"/>
              <w:right w:type="dxa" w:w="100"/>
            </w:tcMar>
            <w:vAlign w:val="center"/>
          </w:tcPr>
          <w:p>
            <w:r>
              <w:rPr>
                <w:b w:val="false"/>
                <w:bCs w:val="false"/>
                <w:sz w:val="19"/>
                <w:szCs w:val="19"/>
              </w:rPr>
              <w:t xml:space="preserve">1</w:t>
            </w:r>
          </w:p>
        </w:tc>
        <w:tc>
          <w:tcPr>
            <w:tcW w:type="dxa" w:w="2400"/>
            <w:tcMar>
              <w:top w:type="dxa" w:w="80"/>
              <w:left w:type="dxa" w:w="100"/>
              <w:bottom w:type="dxa" w:w="80"/>
              <w:right w:type="dxa" w:w="100"/>
            </w:tcMar>
            <w:vAlign w:val="center"/>
          </w:tcPr>
          <w:p>
            <w:r>
              <w:rPr>
                <w:b w:val="false"/>
                <w:bCs w:val="false"/>
                <w:sz w:val="19"/>
                <w:szCs w:val="19"/>
              </w:rPr>
              <w:t xml:space="preserve">Auth &amp; Session Management</w:t>
            </w:r>
          </w:p>
        </w:tc>
        <w:tc>
          <w:tcPr>
            <w:tcW w:type="dxa" w:w="3100"/>
            <w:tcMar>
              <w:top w:type="dxa" w:w="80"/>
              <w:left w:type="dxa" w:w="100"/>
              <w:bottom w:type="dxa" w:w="80"/>
              <w:right w:type="dxa" w:w="100"/>
            </w:tcMar>
            <w:vAlign w:val="center"/>
          </w:tcPr>
          <w:p>
            <w:r>
              <w:rPr>
                <w:b w:val="false"/>
                <w:bCs w:val="false"/>
                <w:sz w:val="19"/>
                <w:szCs w:val="19"/>
              </w:rPr>
              <w:t xml:space="preserve">Login credentials</w:t>
            </w:r>
          </w:p>
        </w:tc>
        <w:tc>
          <w:tcPr>
            <w:tcW w:type="dxa" w:w="3008"/>
            <w:tcMar>
              <w:top w:type="dxa" w:w="80"/>
              <w:left w:type="dxa" w:w="100"/>
              <w:bottom w:type="dxa" w:w="80"/>
              <w:right w:type="dxa" w:w="100"/>
            </w:tcMar>
            <w:vAlign w:val="center"/>
          </w:tcPr>
          <w:p>
            <w:r>
              <w:rPr>
                <w:b w:val="false"/>
                <w:bCs w:val="false"/>
                <w:sz w:val="19"/>
                <w:szCs w:val="19"/>
              </w:rPr>
              <w:t xml:space="preserve">Session token; reads/writes User/Account DB (D1)</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2</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Image Upload &amp; Preprocessing</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Room photo, session token</w:t>
            </w:r>
          </w:p>
        </w:tc>
        <w:tc>
          <w:tcPr>
            <w:tcW w:type="dxa" w:w="3008"/>
            <w:shd w:fill="F2F2F2" w:val="clear"/>
            <w:tcMar>
              <w:top w:type="dxa" w:w="80"/>
              <w:left w:type="dxa" w:w="100"/>
              <w:bottom w:type="dxa" w:w="80"/>
              <w:right w:type="dxa" w:w="100"/>
            </w:tcMar>
            <w:vAlign w:val="center"/>
          </w:tcPr>
          <w:p>
            <w:r>
              <w:rPr>
                <w:b w:val="false"/>
                <w:bCs w:val="false"/>
                <w:sz w:val="19"/>
                <w:szCs w:val="19"/>
              </w:rPr>
              <w:t xml:space="preserve">Normalized image (size, orientation, color corrected); writes to Image/Asset Storage (D3)</w:t>
            </w:r>
          </w:p>
        </w:tc>
      </w:tr>
      <w:tr>
        <w:tc>
          <w:tcPr>
            <w:tcW w:type="dxa" w:w="500"/>
            <w:tcMar>
              <w:top w:type="dxa" w:w="80"/>
              <w:left w:type="dxa" w:w="100"/>
              <w:bottom w:type="dxa" w:w="80"/>
              <w:right w:type="dxa" w:w="100"/>
            </w:tcMar>
            <w:vAlign w:val="center"/>
          </w:tcPr>
          <w:p>
            <w:r>
              <w:rPr>
                <w:b w:val="false"/>
                <w:bCs w:val="false"/>
                <w:sz w:val="19"/>
                <w:szCs w:val="19"/>
              </w:rPr>
              <w:t xml:space="preserve">3</w:t>
            </w:r>
          </w:p>
        </w:tc>
        <w:tc>
          <w:tcPr>
            <w:tcW w:type="dxa" w:w="2400"/>
            <w:tcMar>
              <w:top w:type="dxa" w:w="80"/>
              <w:left w:type="dxa" w:w="100"/>
              <w:bottom w:type="dxa" w:w="80"/>
              <w:right w:type="dxa" w:w="100"/>
            </w:tcMar>
            <w:vAlign w:val="center"/>
          </w:tcPr>
          <w:p>
            <w:r>
              <w:rPr>
                <w:b w:val="false"/>
                <w:bCs w:val="false"/>
                <w:sz w:val="19"/>
                <w:szCs w:val="19"/>
              </w:rPr>
              <w:t xml:space="preserve">Surface Segmentation</w:t>
            </w:r>
          </w:p>
        </w:tc>
        <w:tc>
          <w:tcPr>
            <w:tcW w:type="dxa" w:w="3100"/>
            <w:tcMar>
              <w:top w:type="dxa" w:w="80"/>
              <w:left w:type="dxa" w:w="100"/>
              <w:bottom w:type="dxa" w:w="80"/>
              <w:right w:type="dxa" w:w="100"/>
            </w:tcMar>
            <w:vAlign w:val="center"/>
          </w:tcPr>
          <w:p>
            <w:r>
              <w:rPr>
                <w:b w:val="false"/>
                <w:bCs w:val="false"/>
                <w:sz w:val="19"/>
                <w:szCs w:val="19"/>
              </w:rPr>
              <w:t xml:space="preserve">Normalized image, selected component(s)</w:t>
            </w:r>
          </w:p>
        </w:tc>
        <w:tc>
          <w:tcPr>
            <w:tcW w:type="dxa" w:w="3008"/>
            <w:tcMar>
              <w:top w:type="dxa" w:w="80"/>
              <w:left w:type="dxa" w:w="100"/>
              <w:bottom w:type="dxa" w:w="80"/>
              <w:right w:type="dxa" w:w="100"/>
            </w:tcMar>
            <w:vAlign w:val="center"/>
          </w:tcPr>
          <w:p>
            <w:r>
              <w:rPr>
                <w:b w:val="false"/>
                <w:bCs w:val="false"/>
                <w:sz w:val="19"/>
                <w:szCs w:val="19"/>
              </w:rPr>
              <w:t xml:space="preserve">Segmentation mask for selected surface(s)</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4</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Scene Understanding</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Segmentation mask, normalized image</w:t>
            </w:r>
          </w:p>
        </w:tc>
        <w:tc>
          <w:tcPr>
            <w:tcW w:type="dxa" w:w="3008"/>
            <w:shd w:fill="F2F2F2" w:val="clear"/>
            <w:tcMar>
              <w:top w:type="dxa" w:w="80"/>
              <w:left w:type="dxa" w:w="100"/>
              <w:bottom w:type="dxa" w:w="80"/>
              <w:right w:type="dxa" w:w="100"/>
            </w:tcMar>
            <w:vAlign w:val="center"/>
          </w:tcPr>
          <w:p>
            <w:r>
              <w:rPr>
                <w:b w:val="false"/>
                <w:bCs w:val="false"/>
                <w:sz w:val="19"/>
                <w:szCs w:val="19"/>
              </w:rPr>
              <w:t xml:space="preserve">Depth, perspective, and surface orientation data</w:t>
            </w:r>
          </w:p>
        </w:tc>
      </w:tr>
      <w:tr>
        <w:tc>
          <w:tcPr>
            <w:tcW w:type="dxa" w:w="500"/>
            <w:tcMar>
              <w:top w:type="dxa" w:w="80"/>
              <w:left w:type="dxa" w:w="100"/>
              <w:bottom w:type="dxa" w:w="80"/>
              <w:right w:type="dxa" w:w="100"/>
            </w:tcMar>
            <w:vAlign w:val="center"/>
          </w:tcPr>
          <w:p>
            <w:r>
              <w:rPr>
                <w:b w:val="false"/>
                <w:bCs w:val="false"/>
                <w:sz w:val="19"/>
                <w:szCs w:val="19"/>
              </w:rPr>
              <w:t xml:space="preserve">5</w:t>
            </w:r>
          </w:p>
        </w:tc>
        <w:tc>
          <w:tcPr>
            <w:tcW w:type="dxa" w:w="2400"/>
            <w:tcMar>
              <w:top w:type="dxa" w:w="80"/>
              <w:left w:type="dxa" w:w="100"/>
              <w:bottom w:type="dxa" w:w="80"/>
              <w:right w:type="dxa" w:w="100"/>
            </w:tcMar>
            <w:vAlign w:val="center"/>
          </w:tcPr>
          <w:p>
            <w:r>
              <w:rPr>
                <w:b w:val="false"/>
                <w:bCs w:val="false"/>
                <w:sz w:val="19"/>
                <w:szCs w:val="19"/>
              </w:rPr>
              <w:t xml:space="preserve">Texture Mapping &amp; Rendering</w:t>
            </w:r>
          </w:p>
        </w:tc>
        <w:tc>
          <w:tcPr>
            <w:tcW w:type="dxa" w:w="3100"/>
            <w:tcMar>
              <w:top w:type="dxa" w:w="80"/>
              <w:left w:type="dxa" w:w="100"/>
              <w:bottom w:type="dxa" w:w="80"/>
              <w:right w:type="dxa" w:w="100"/>
            </w:tcMar>
            <w:vAlign w:val="center"/>
          </w:tcPr>
          <w:p>
            <w:r>
              <w:rPr>
                <w:b w:val="false"/>
                <w:bCs w:val="false"/>
                <w:sz w:val="19"/>
                <w:szCs w:val="19"/>
              </w:rPr>
              <w:t xml:space="preserve">Depth/perspective data, selected vinyl texture (from D2)</w:t>
            </w:r>
          </w:p>
        </w:tc>
        <w:tc>
          <w:tcPr>
            <w:tcW w:type="dxa" w:w="3008"/>
            <w:tcMar>
              <w:top w:type="dxa" w:w="80"/>
              <w:left w:type="dxa" w:w="100"/>
              <w:bottom w:type="dxa" w:w="80"/>
              <w:right w:type="dxa" w:w="100"/>
            </w:tcMar>
            <w:vAlign w:val="center"/>
          </w:tcPr>
          <w:p>
            <w:r>
              <w:rPr>
                <w:b w:val="false"/>
                <w:bCs w:val="false"/>
                <w:sz w:val="19"/>
                <w:szCs w:val="19"/>
              </w:rPr>
              <w:t xml:space="preserve">Composite render with vinyl projected onto the surface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Post-Processing &amp; Output Generation</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Composite render</w:t>
            </w:r>
          </w:p>
        </w:tc>
        <w:tc>
          <w:tcPr>
            <w:tcW w:type="dxa" w:w="3008"/>
            <w:shd w:fill="F2F2F2" w:val="clear"/>
            <w:tcMar>
              <w:top w:type="dxa" w:w="80"/>
              <w:left w:type="dxa" w:w="100"/>
              <w:bottom w:type="dxa" w:w="80"/>
              <w:right w:type="dxa" w:w="100"/>
            </w:tcMar>
            <w:vAlign w:val="center"/>
          </w:tcPr>
          <w:p>
            <w:r>
              <w:rPr>
                <w:b w:val="false"/>
                <w:bCs w:val="false"/>
                <w:sz w:val="19"/>
                <w:szCs w:val="19"/>
              </w:rPr>
              <w:t xml:space="preserve">Final high-resolution visualization; writes to Image/Asset Storage (D3) and Project DB (D4)</w:t>
            </w:r>
          </w:p>
        </w:tc>
      </w:tr>
      <w:tr>
        <w:tc>
          <w:tcPr>
            <w:tcW w:type="dxa" w:w="500"/>
            <w:tcMar>
              <w:top w:type="dxa" w:w="80"/>
              <w:left w:type="dxa" w:w="100"/>
              <w:bottom w:type="dxa" w:w="80"/>
              <w:right w:type="dxa" w:w="100"/>
            </w:tcMar>
            <w:vAlign w:val="center"/>
          </w:tcPr>
          <w:p>
            <w:r>
              <w:rPr>
                <w:b w:val="false"/>
                <w:bCs w:val="false"/>
                <w:sz w:val="19"/>
                <w:szCs w:val="19"/>
              </w:rPr>
              <w:t xml:space="preserve">7</w:t>
            </w:r>
          </w:p>
        </w:tc>
        <w:tc>
          <w:tcPr>
            <w:tcW w:type="dxa" w:w="2400"/>
            <w:tcMar>
              <w:top w:type="dxa" w:w="80"/>
              <w:left w:type="dxa" w:w="100"/>
              <w:bottom w:type="dxa" w:w="80"/>
              <w:right w:type="dxa" w:w="100"/>
            </w:tcMar>
            <w:vAlign w:val="center"/>
          </w:tcPr>
          <w:p>
            <w:r>
              <w:rPr>
                <w:b w:val="false"/>
                <w:bCs w:val="false"/>
                <w:sz w:val="19"/>
                <w:szCs w:val="19"/>
              </w:rPr>
              <w:t xml:space="preserve">Catalogue Management</w:t>
            </w:r>
          </w:p>
        </w:tc>
        <w:tc>
          <w:tcPr>
            <w:tcW w:type="dxa" w:w="3100"/>
            <w:tcMar>
              <w:top w:type="dxa" w:w="80"/>
              <w:left w:type="dxa" w:w="100"/>
              <w:bottom w:type="dxa" w:w="80"/>
              <w:right w:type="dxa" w:w="100"/>
            </w:tcMar>
            <w:vAlign w:val="center"/>
          </w:tcPr>
          <w:p>
            <w:r>
              <w:rPr>
                <w:b w:val="false"/>
                <w:bCs w:val="false"/>
                <w:sz w:val="19"/>
                <w:szCs w:val="19"/>
              </w:rPr>
              <w:t xml:space="preserve">Vinyl texture uploads, metadata from Admin</w:t>
            </w:r>
          </w:p>
        </w:tc>
        <w:tc>
          <w:tcPr>
            <w:tcW w:type="dxa" w:w="3008"/>
            <w:tcMar>
              <w:top w:type="dxa" w:w="80"/>
              <w:left w:type="dxa" w:w="100"/>
              <w:bottom w:type="dxa" w:w="80"/>
              <w:right w:type="dxa" w:w="100"/>
            </w:tcMar>
            <w:vAlign w:val="center"/>
          </w:tcPr>
          <w:p>
            <w:r>
              <w:rPr>
                <w:b w:val="false"/>
                <w:bCs w:val="false"/>
                <w:sz w:val="19"/>
                <w:szCs w:val="19"/>
              </w:rPr>
              <w:t xml:space="preserve">Catalogue entries written to Vinyl Catalogue DB (D2); texture data supplied to Process 5</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8</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Project &amp; History Management</w:t>
            </w:r>
          </w:p>
        </w:tc>
        <w:tc>
          <w:tcPr>
            <w:tcW w:type="dxa" w:w="3100"/>
            <w:shd w:fill="F2F2F2" w:val="clear"/>
            <w:tcMar>
              <w:top w:type="dxa" w:w="80"/>
              <w:left w:type="dxa" w:w="100"/>
              <w:bottom w:type="dxa" w:w="80"/>
              <w:right w:type="dxa" w:w="100"/>
            </w:tcMar>
            <w:vAlign w:val="center"/>
          </w:tcPr>
          <w:p>
            <w:r>
              <w:rPr>
                <w:b w:val="false"/>
                <w:bCs w:val="false"/>
                <w:sz w:val="19"/>
                <w:szCs w:val="19"/>
              </w:rPr>
              <w:t xml:space="preserve">Final visualization from Process 6</w:t>
            </w:r>
          </w:p>
        </w:tc>
        <w:tc>
          <w:tcPr>
            <w:tcW w:type="dxa" w:w="3008"/>
            <w:shd w:fill="F2F2F2" w:val="clear"/>
            <w:tcMar>
              <w:top w:type="dxa" w:w="80"/>
              <w:left w:type="dxa" w:w="100"/>
              <w:bottom w:type="dxa" w:w="80"/>
              <w:right w:type="dxa" w:w="100"/>
            </w:tcMar>
            <w:vAlign w:val="center"/>
          </w:tcPr>
          <w:p>
            <w:r>
              <w:rPr>
                <w:b w:val="false"/>
                <w:bCs w:val="false"/>
                <w:sz w:val="19"/>
                <w:szCs w:val="19"/>
              </w:rPr>
              <w:t xml:space="preserve">Project record written to Visualization/Project DB (D4); approved project reference to Process 9</w:t>
            </w:r>
          </w:p>
        </w:tc>
      </w:tr>
      <w:tr>
        <w:tc>
          <w:tcPr>
            <w:tcW w:type="dxa" w:w="500"/>
            <w:tcMar>
              <w:top w:type="dxa" w:w="80"/>
              <w:left w:type="dxa" w:w="100"/>
              <w:bottom w:type="dxa" w:w="80"/>
              <w:right w:type="dxa" w:w="100"/>
            </w:tcMar>
            <w:vAlign w:val="center"/>
          </w:tcPr>
          <w:p>
            <w:r>
              <w:rPr>
                <w:b w:val="false"/>
                <w:bCs w:val="false"/>
                <w:sz w:val="19"/>
                <w:szCs w:val="19"/>
              </w:rPr>
              <w:t xml:space="preserve">9</w:t>
            </w:r>
          </w:p>
        </w:tc>
        <w:tc>
          <w:tcPr>
            <w:tcW w:type="dxa" w:w="2400"/>
            <w:tcMar>
              <w:top w:type="dxa" w:w="80"/>
              <w:left w:type="dxa" w:w="100"/>
              <w:bottom w:type="dxa" w:w="80"/>
              <w:right w:type="dxa" w:w="100"/>
            </w:tcMar>
            <w:vAlign w:val="center"/>
          </w:tcPr>
          <w:p>
            <w:r>
              <w:rPr>
                <w:b w:val="false"/>
                <w:bCs w:val="false"/>
                <w:sz w:val="19"/>
                <w:szCs w:val="19"/>
              </w:rPr>
              <w:t xml:space="preserve">Quotation Generation</w:t>
            </w:r>
          </w:p>
        </w:tc>
        <w:tc>
          <w:tcPr>
            <w:tcW w:type="dxa" w:w="3100"/>
            <w:tcMar>
              <w:top w:type="dxa" w:w="80"/>
              <w:left w:type="dxa" w:w="100"/>
              <w:bottom w:type="dxa" w:w="80"/>
              <w:right w:type="dxa" w:w="100"/>
            </w:tcMar>
            <w:vAlign w:val="center"/>
          </w:tcPr>
          <w:p>
            <w:r>
              <w:rPr>
                <w:b w:val="false"/>
                <w:bCs w:val="false"/>
                <w:sz w:val="19"/>
                <w:szCs w:val="19"/>
              </w:rPr>
              <w:t xml:space="preserve">Approved project reference, pricing inputs</w:t>
            </w:r>
          </w:p>
        </w:tc>
        <w:tc>
          <w:tcPr>
            <w:tcW w:type="dxa" w:w="3008"/>
            <w:tcMar>
              <w:top w:type="dxa" w:w="80"/>
              <w:left w:type="dxa" w:w="100"/>
              <w:bottom w:type="dxa" w:w="80"/>
              <w:right w:type="dxa" w:w="100"/>
            </w:tcMar>
            <w:vAlign w:val="center"/>
          </w:tcPr>
          <w:p>
            <w:r>
              <w:rPr>
                <w:b w:val="false"/>
                <w:bCs w:val="false"/>
                <w:sz w:val="19"/>
                <w:szCs w:val="19"/>
              </w:rPr>
              <w:t xml:space="preserve">Quotation record written to Quotation DB (D5); quotation summary to Sales Rep and Installer</w:t>
            </w:r>
          </w:p>
        </w:tc>
      </w:tr>
    </w:tbl>
    <w:p>
      <w:pPr>
        <w:pStyle w:val="Heading1"/>
        <w:spacing w:after="160" w:before="360"/>
      </w:pPr>
      <w:r>
        <w:t xml:space="preserve">7. Data Stores</w:t>
      </w:r>
    </w:p>
    <w:tbl>
      <w:tblPr>
        <w:tblW w:type="dxa" w:w="9008"/>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2000"/>
        <w:gridCol w:w="3300"/>
        <w:gridCol w:w="1500"/>
        <w:gridCol w:w="1708"/>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ID</w:t>
            </w:r>
          </w:p>
        </w:tc>
        <w:tc>
          <w:tcPr>
            <w:tcW w:type="dxa" w:w="2000"/>
            <w:shd w:fill="1F3864" w:val="clear"/>
            <w:tcMar>
              <w:top w:type="dxa" w:w="80"/>
              <w:left w:type="dxa" w:w="100"/>
              <w:bottom w:type="dxa" w:w="80"/>
              <w:right w:type="dxa" w:w="100"/>
            </w:tcMar>
            <w:vAlign w:val="center"/>
          </w:tcPr>
          <w:p>
            <w:r>
              <w:rPr>
                <w:b/>
                <w:bCs/>
                <w:color w:val="FFFFFF"/>
                <w:sz w:val="19"/>
                <w:szCs w:val="19"/>
              </w:rPr>
              <w:t xml:space="preserve">Data Store</w:t>
            </w:r>
          </w:p>
        </w:tc>
        <w:tc>
          <w:tcPr>
            <w:tcW w:type="dxa" w:w="3300"/>
            <w:shd w:fill="1F3864" w:val="clear"/>
            <w:tcMar>
              <w:top w:type="dxa" w:w="80"/>
              <w:left w:type="dxa" w:w="100"/>
              <w:bottom w:type="dxa" w:w="80"/>
              <w:right w:type="dxa" w:w="100"/>
            </w:tcMar>
            <w:vAlign w:val="center"/>
          </w:tcPr>
          <w:p>
            <w:r>
              <w:rPr>
                <w:b/>
                <w:bCs/>
                <w:color w:val="FFFFFF"/>
                <w:sz w:val="19"/>
                <w:szCs w:val="19"/>
              </w:rPr>
              <w:t xml:space="preserve">Description</w:t>
            </w:r>
          </w:p>
        </w:tc>
        <w:tc>
          <w:tcPr>
            <w:tcW w:type="dxa" w:w="1500"/>
            <w:shd w:fill="1F3864" w:val="clear"/>
            <w:tcMar>
              <w:top w:type="dxa" w:w="80"/>
              <w:left w:type="dxa" w:w="100"/>
              <w:bottom w:type="dxa" w:w="80"/>
              <w:right w:type="dxa" w:w="100"/>
            </w:tcMar>
            <w:vAlign w:val="center"/>
          </w:tcPr>
          <w:p>
            <w:r>
              <w:rPr>
                <w:b/>
                <w:bCs/>
                <w:color w:val="FFFFFF"/>
                <w:sz w:val="19"/>
                <w:szCs w:val="19"/>
              </w:rPr>
              <w:t xml:space="preserve">Written By</w:t>
            </w:r>
          </w:p>
        </w:tc>
        <w:tc>
          <w:tcPr>
            <w:tcW w:type="dxa" w:w="1708"/>
            <w:shd w:fill="1F3864" w:val="clear"/>
            <w:tcMar>
              <w:top w:type="dxa" w:w="80"/>
              <w:left w:type="dxa" w:w="100"/>
              <w:bottom w:type="dxa" w:w="80"/>
              <w:right w:type="dxa" w:w="100"/>
            </w:tcMar>
            <w:vAlign w:val="center"/>
          </w:tcPr>
          <w:p>
            <w:r>
              <w:rPr>
                <w:b/>
                <w:bCs/>
                <w:color w:val="FFFFFF"/>
                <w:sz w:val="19"/>
                <w:szCs w:val="19"/>
              </w:rPr>
              <w:t xml:space="preserve">Read By</w:t>
            </w:r>
          </w:p>
        </w:tc>
      </w:tr>
      <w:tr>
        <w:tc>
          <w:tcPr>
            <w:tcW w:type="dxa" w:w="500"/>
            <w:tcMar>
              <w:top w:type="dxa" w:w="80"/>
              <w:left w:type="dxa" w:w="100"/>
              <w:bottom w:type="dxa" w:w="80"/>
              <w:right w:type="dxa" w:w="100"/>
            </w:tcMar>
            <w:vAlign w:val="center"/>
          </w:tcPr>
          <w:p>
            <w:r>
              <w:rPr>
                <w:b w:val="false"/>
                <w:bCs w:val="false"/>
                <w:sz w:val="19"/>
                <w:szCs w:val="19"/>
              </w:rPr>
              <w:t xml:space="preserve">D1</w:t>
            </w:r>
          </w:p>
        </w:tc>
        <w:tc>
          <w:tcPr>
            <w:tcW w:type="dxa" w:w="2000"/>
            <w:tcMar>
              <w:top w:type="dxa" w:w="80"/>
              <w:left w:type="dxa" w:w="100"/>
              <w:bottom w:type="dxa" w:w="80"/>
              <w:right w:type="dxa" w:w="100"/>
            </w:tcMar>
            <w:vAlign w:val="center"/>
          </w:tcPr>
          <w:p>
            <w:r>
              <w:rPr>
                <w:b w:val="false"/>
                <w:bCs w:val="false"/>
                <w:sz w:val="19"/>
                <w:szCs w:val="19"/>
              </w:rPr>
              <w:t xml:space="preserve">User / Account DB</w:t>
            </w:r>
          </w:p>
        </w:tc>
        <w:tc>
          <w:tcPr>
            <w:tcW w:type="dxa" w:w="3300"/>
            <w:tcMar>
              <w:top w:type="dxa" w:w="80"/>
              <w:left w:type="dxa" w:w="100"/>
              <w:bottom w:type="dxa" w:w="80"/>
              <w:right w:type="dxa" w:w="100"/>
            </w:tcMar>
            <w:vAlign w:val="center"/>
          </w:tcPr>
          <w:p>
            <w:r>
              <w:rPr>
                <w:b w:val="false"/>
                <w:bCs w:val="false"/>
                <w:sz w:val="19"/>
                <w:szCs w:val="19"/>
              </w:rPr>
              <w:t xml:space="preserve">Account credentials, roles (Homeowner, Sales Rep, Installer, Admin), profile data</w:t>
            </w:r>
          </w:p>
        </w:tc>
        <w:tc>
          <w:tcPr>
            <w:tcW w:type="dxa" w:w="1500"/>
            <w:tcMar>
              <w:top w:type="dxa" w:w="80"/>
              <w:left w:type="dxa" w:w="100"/>
              <w:bottom w:type="dxa" w:w="80"/>
              <w:right w:type="dxa" w:w="100"/>
            </w:tcMar>
            <w:vAlign w:val="center"/>
          </w:tcPr>
          <w:p>
            <w:r>
              <w:rPr>
                <w:b w:val="false"/>
                <w:bCs w:val="false"/>
                <w:sz w:val="19"/>
                <w:szCs w:val="19"/>
              </w:rPr>
              <w:t xml:space="preserve">Process 1</w:t>
            </w:r>
          </w:p>
        </w:tc>
        <w:tc>
          <w:tcPr>
            <w:tcW w:type="dxa" w:w="1708"/>
            <w:tcMar>
              <w:top w:type="dxa" w:w="80"/>
              <w:left w:type="dxa" w:w="100"/>
              <w:bottom w:type="dxa" w:w="80"/>
              <w:right w:type="dxa" w:w="100"/>
            </w:tcMar>
            <w:vAlign w:val="center"/>
          </w:tcPr>
          <w:p>
            <w:r>
              <w:rPr>
                <w:b w:val="false"/>
                <w:bCs w:val="false"/>
                <w:sz w:val="19"/>
                <w:szCs w:val="19"/>
              </w:rPr>
              <w:t xml:space="preserve">Process 1</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D2</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Vinyl Catalogue DB</w:t>
            </w:r>
          </w:p>
        </w:tc>
        <w:tc>
          <w:tcPr>
            <w:tcW w:type="dxa" w:w="3300"/>
            <w:shd w:fill="F2F2F2" w:val="clear"/>
            <w:tcMar>
              <w:top w:type="dxa" w:w="80"/>
              <w:left w:type="dxa" w:w="100"/>
              <w:bottom w:type="dxa" w:w="80"/>
              <w:right w:type="dxa" w:w="100"/>
            </w:tcMar>
            <w:vAlign w:val="center"/>
          </w:tcPr>
          <w:p>
            <w:r>
              <w:rPr>
                <w:b w:val="false"/>
                <w:bCs w:val="false"/>
                <w:sz w:val="19"/>
                <w:szCs w:val="19"/>
              </w:rPr>
              <w:t xml:space="preserve">Vinyl ID, product name, texture references, color code, finish type, metadata</w:t>
            </w:r>
          </w:p>
        </w:tc>
        <w:tc>
          <w:tcPr>
            <w:tcW w:type="dxa" w:w="1500"/>
            <w:shd w:fill="F2F2F2" w:val="clear"/>
            <w:tcMar>
              <w:top w:type="dxa" w:w="80"/>
              <w:left w:type="dxa" w:w="100"/>
              <w:bottom w:type="dxa" w:w="80"/>
              <w:right w:type="dxa" w:w="100"/>
            </w:tcMar>
            <w:vAlign w:val="center"/>
          </w:tcPr>
          <w:p>
            <w:r>
              <w:rPr>
                <w:b w:val="false"/>
                <w:bCs w:val="false"/>
                <w:sz w:val="19"/>
                <w:szCs w:val="19"/>
              </w:rPr>
              <w:t xml:space="preserve">Process 7</w:t>
            </w:r>
          </w:p>
        </w:tc>
        <w:tc>
          <w:tcPr>
            <w:tcW w:type="dxa" w:w="1708"/>
            <w:shd w:fill="F2F2F2" w:val="clear"/>
            <w:tcMar>
              <w:top w:type="dxa" w:w="80"/>
              <w:left w:type="dxa" w:w="100"/>
              <w:bottom w:type="dxa" w:w="80"/>
              <w:right w:type="dxa" w:w="100"/>
            </w:tcMar>
            <w:vAlign w:val="center"/>
          </w:tcPr>
          <w:p>
            <w:r>
              <w:rPr>
                <w:b w:val="false"/>
                <w:bCs w:val="false"/>
                <w:sz w:val="19"/>
                <w:szCs w:val="19"/>
              </w:rPr>
              <w:t xml:space="preserve">Process 5, 7</w:t>
            </w:r>
          </w:p>
        </w:tc>
      </w:tr>
      <w:tr>
        <w:tc>
          <w:tcPr>
            <w:tcW w:type="dxa" w:w="500"/>
            <w:tcMar>
              <w:top w:type="dxa" w:w="80"/>
              <w:left w:type="dxa" w:w="100"/>
              <w:bottom w:type="dxa" w:w="80"/>
              <w:right w:type="dxa" w:w="100"/>
            </w:tcMar>
            <w:vAlign w:val="center"/>
          </w:tcPr>
          <w:p>
            <w:r>
              <w:rPr>
                <w:b w:val="false"/>
                <w:bCs w:val="false"/>
                <w:sz w:val="19"/>
                <w:szCs w:val="19"/>
              </w:rPr>
              <w:t xml:space="preserve">D3</w:t>
            </w:r>
          </w:p>
        </w:tc>
        <w:tc>
          <w:tcPr>
            <w:tcW w:type="dxa" w:w="2000"/>
            <w:tcMar>
              <w:top w:type="dxa" w:w="80"/>
              <w:left w:type="dxa" w:w="100"/>
              <w:bottom w:type="dxa" w:w="80"/>
              <w:right w:type="dxa" w:w="100"/>
            </w:tcMar>
            <w:vAlign w:val="center"/>
          </w:tcPr>
          <w:p>
            <w:r>
              <w:rPr>
                <w:b w:val="false"/>
                <w:bCs w:val="false"/>
                <w:sz w:val="19"/>
                <w:szCs w:val="19"/>
              </w:rPr>
              <w:t xml:space="preserve">Image / Asset Storage</w:t>
            </w:r>
          </w:p>
        </w:tc>
        <w:tc>
          <w:tcPr>
            <w:tcW w:type="dxa" w:w="3300"/>
            <w:tcMar>
              <w:top w:type="dxa" w:w="80"/>
              <w:left w:type="dxa" w:w="100"/>
              <w:bottom w:type="dxa" w:w="80"/>
              <w:right w:type="dxa" w:w="100"/>
            </w:tcMar>
            <w:vAlign w:val="center"/>
          </w:tcPr>
          <w:p>
            <w:r>
              <w:rPr>
                <w:b w:val="false"/>
                <w:bCs w:val="false"/>
                <w:sz w:val="19"/>
                <w:szCs w:val="19"/>
              </w:rPr>
              <w:t xml:space="preserve">Uploaded room photos, normalized images, final rendered visualizations</w:t>
            </w:r>
          </w:p>
        </w:tc>
        <w:tc>
          <w:tcPr>
            <w:tcW w:type="dxa" w:w="1500"/>
            <w:tcMar>
              <w:top w:type="dxa" w:w="80"/>
              <w:left w:type="dxa" w:w="100"/>
              <w:bottom w:type="dxa" w:w="80"/>
              <w:right w:type="dxa" w:w="100"/>
            </w:tcMar>
            <w:vAlign w:val="center"/>
          </w:tcPr>
          <w:p>
            <w:r>
              <w:rPr>
                <w:b w:val="false"/>
                <w:bCs w:val="false"/>
                <w:sz w:val="19"/>
                <w:szCs w:val="19"/>
              </w:rPr>
              <w:t xml:space="preserve">Process 2, 6</w:t>
            </w:r>
          </w:p>
        </w:tc>
        <w:tc>
          <w:tcPr>
            <w:tcW w:type="dxa" w:w="1708"/>
            <w:tcMar>
              <w:top w:type="dxa" w:w="80"/>
              <w:left w:type="dxa" w:w="100"/>
              <w:bottom w:type="dxa" w:w="80"/>
              <w:right w:type="dxa" w:w="100"/>
            </w:tcMar>
            <w:vAlign w:val="center"/>
          </w:tcPr>
          <w:p>
            <w:r>
              <w:rPr>
                <w:b w:val="false"/>
                <w:bCs w:val="false"/>
                <w:sz w:val="19"/>
                <w:szCs w:val="19"/>
              </w:rPr>
              <w:t xml:space="preserve">Process 3, 8</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D4</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Visualization / Project DB</w:t>
            </w:r>
          </w:p>
        </w:tc>
        <w:tc>
          <w:tcPr>
            <w:tcW w:type="dxa" w:w="3300"/>
            <w:shd w:fill="F2F2F2" w:val="clear"/>
            <w:tcMar>
              <w:top w:type="dxa" w:w="80"/>
              <w:left w:type="dxa" w:w="100"/>
              <w:bottom w:type="dxa" w:w="80"/>
              <w:right w:type="dxa" w:w="100"/>
            </w:tcMar>
            <w:vAlign w:val="center"/>
          </w:tcPr>
          <w:p>
            <w:r>
              <w:rPr>
                <w:b w:val="false"/>
                <w:bCs w:val="false"/>
                <w:sz w:val="19"/>
                <w:szCs w:val="19"/>
              </w:rPr>
              <w:t xml:space="preserve">Saved project records: selected surfaces, applied vinyl, generation history, approval status</w:t>
            </w:r>
          </w:p>
        </w:tc>
        <w:tc>
          <w:tcPr>
            <w:tcW w:type="dxa" w:w="1500"/>
            <w:shd w:fill="F2F2F2" w:val="clear"/>
            <w:tcMar>
              <w:top w:type="dxa" w:w="80"/>
              <w:left w:type="dxa" w:w="100"/>
              <w:bottom w:type="dxa" w:w="80"/>
              <w:right w:type="dxa" w:w="100"/>
            </w:tcMar>
            <w:vAlign w:val="center"/>
          </w:tcPr>
          <w:p>
            <w:r>
              <w:rPr>
                <w:b w:val="false"/>
                <w:bCs w:val="false"/>
                <w:sz w:val="19"/>
                <w:szCs w:val="19"/>
              </w:rPr>
              <w:t xml:space="preserve">Process 8</w:t>
            </w:r>
          </w:p>
        </w:tc>
        <w:tc>
          <w:tcPr>
            <w:tcW w:type="dxa" w:w="1708"/>
            <w:shd w:fill="F2F2F2" w:val="clear"/>
            <w:tcMar>
              <w:top w:type="dxa" w:w="80"/>
              <w:left w:type="dxa" w:w="100"/>
              <w:bottom w:type="dxa" w:w="80"/>
              <w:right w:type="dxa" w:w="100"/>
            </w:tcMar>
            <w:vAlign w:val="center"/>
          </w:tcPr>
          <w:p>
            <w:r>
              <w:rPr>
                <w:b w:val="false"/>
                <w:bCs w:val="false"/>
                <w:sz w:val="19"/>
                <w:szCs w:val="19"/>
              </w:rPr>
              <w:t xml:space="preserve">Process 8, 9</w:t>
            </w:r>
          </w:p>
        </w:tc>
      </w:tr>
      <w:tr>
        <w:tc>
          <w:tcPr>
            <w:tcW w:type="dxa" w:w="500"/>
            <w:tcMar>
              <w:top w:type="dxa" w:w="80"/>
              <w:left w:type="dxa" w:w="100"/>
              <w:bottom w:type="dxa" w:w="80"/>
              <w:right w:type="dxa" w:w="100"/>
            </w:tcMar>
            <w:vAlign w:val="center"/>
          </w:tcPr>
          <w:p>
            <w:r>
              <w:rPr>
                <w:b w:val="false"/>
                <w:bCs w:val="false"/>
                <w:sz w:val="19"/>
                <w:szCs w:val="19"/>
              </w:rPr>
              <w:t xml:space="preserve">D5</w:t>
            </w:r>
          </w:p>
        </w:tc>
        <w:tc>
          <w:tcPr>
            <w:tcW w:type="dxa" w:w="2000"/>
            <w:tcMar>
              <w:top w:type="dxa" w:w="80"/>
              <w:left w:type="dxa" w:w="100"/>
              <w:bottom w:type="dxa" w:w="80"/>
              <w:right w:type="dxa" w:w="100"/>
            </w:tcMar>
            <w:vAlign w:val="center"/>
          </w:tcPr>
          <w:p>
            <w:r>
              <w:rPr>
                <w:b w:val="false"/>
                <w:bCs w:val="false"/>
                <w:sz w:val="19"/>
                <w:szCs w:val="19"/>
              </w:rPr>
              <w:t xml:space="preserve">Quotation DB</w:t>
            </w:r>
          </w:p>
        </w:tc>
        <w:tc>
          <w:tcPr>
            <w:tcW w:type="dxa" w:w="3300"/>
            <w:tcMar>
              <w:top w:type="dxa" w:w="80"/>
              <w:left w:type="dxa" w:w="100"/>
              <w:bottom w:type="dxa" w:w="80"/>
              <w:right w:type="dxa" w:w="100"/>
            </w:tcMar>
            <w:vAlign w:val="center"/>
          </w:tcPr>
          <w:p>
            <w:r>
              <w:rPr>
                <w:b w:val="false"/>
                <w:bCs w:val="false"/>
                <w:sz w:val="19"/>
                <w:szCs w:val="19"/>
              </w:rPr>
              <w:t xml:space="preserve">Quotation records: pricing, associated project reference, approval/status</w:t>
            </w:r>
          </w:p>
        </w:tc>
        <w:tc>
          <w:tcPr>
            <w:tcW w:type="dxa" w:w="1500"/>
            <w:tcMar>
              <w:top w:type="dxa" w:w="80"/>
              <w:left w:type="dxa" w:w="100"/>
              <w:bottom w:type="dxa" w:w="80"/>
              <w:right w:type="dxa" w:w="100"/>
            </w:tcMar>
            <w:vAlign w:val="center"/>
          </w:tcPr>
          <w:p>
            <w:r>
              <w:rPr>
                <w:b w:val="false"/>
                <w:bCs w:val="false"/>
                <w:sz w:val="19"/>
                <w:szCs w:val="19"/>
              </w:rPr>
              <w:t xml:space="preserve">Process 9</w:t>
            </w:r>
          </w:p>
        </w:tc>
        <w:tc>
          <w:tcPr>
            <w:tcW w:type="dxa" w:w="1708"/>
            <w:tcMar>
              <w:top w:type="dxa" w:w="80"/>
              <w:left w:type="dxa" w:w="100"/>
              <w:bottom w:type="dxa" w:w="80"/>
              <w:right w:type="dxa" w:w="100"/>
            </w:tcMar>
            <w:vAlign w:val="center"/>
          </w:tcPr>
          <w:p>
            <w:r>
              <w:rPr>
                <w:b w:val="false"/>
                <w:bCs w:val="false"/>
                <w:sz w:val="19"/>
                <w:szCs w:val="19"/>
              </w:rPr>
              <w:t xml:space="preserve">Process 9</w:t>
            </w:r>
          </w:p>
        </w:tc>
      </w:tr>
    </w:tbl>
    <w:p>
      <w:pPr>
        <w:pStyle w:val="Heading1"/>
        <w:spacing w:after="160" w:before="360"/>
      </w:pPr>
      <w:r>
        <w:t xml:space="preserve">8. Data Dictionary</w:t>
      </w:r>
    </w:p>
    <w:tbl>
      <w:tblPr>
        <w:tblW w:type="dxa" w:w="9008"/>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408"/>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Data Element</w:t>
            </w:r>
          </w:p>
        </w:tc>
        <w:tc>
          <w:tcPr>
            <w:tcW w:type="dxa" w:w="6408"/>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tcMar>
              <w:top w:type="dxa" w:w="80"/>
              <w:left w:type="dxa" w:w="100"/>
              <w:bottom w:type="dxa" w:w="80"/>
              <w:right w:type="dxa" w:w="100"/>
            </w:tcMar>
            <w:vAlign w:val="center"/>
          </w:tcPr>
          <w:p>
            <w:r>
              <w:rPr>
                <w:b w:val="false"/>
                <w:bCs w:val="false"/>
                <w:sz w:val="19"/>
                <w:szCs w:val="19"/>
              </w:rPr>
              <w:t xml:space="preserve">Room Photo</w:t>
            </w:r>
          </w:p>
        </w:tc>
        <w:tc>
          <w:tcPr>
            <w:tcW w:type="dxa" w:w="6408"/>
            <w:tcMar>
              <w:top w:type="dxa" w:w="80"/>
              <w:left w:type="dxa" w:w="100"/>
              <w:bottom w:type="dxa" w:w="80"/>
              <w:right w:type="dxa" w:w="100"/>
            </w:tcMar>
            <w:vAlign w:val="center"/>
          </w:tcPr>
          <w:p>
            <w:r>
              <w:rPr>
                <w:b w:val="false"/>
                <w:bCs w:val="false"/>
                <w:sz w:val="19"/>
                <w:szCs w:val="19"/>
              </w:rPr>
              <w:t xml:space="preserve">User-supplied image of the surface/room to be visualized, any resolution.</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Normalized Image</w:t>
            </w:r>
          </w:p>
        </w:tc>
        <w:tc>
          <w:tcPr>
            <w:tcW w:type="dxa" w:w="6408"/>
            <w:shd w:fill="F2F2F2" w:val="clear"/>
            <w:tcMar>
              <w:top w:type="dxa" w:w="80"/>
              <w:left w:type="dxa" w:w="100"/>
              <w:bottom w:type="dxa" w:w="80"/>
              <w:right w:type="dxa" w:w="100"/>
            </w:tcMar>
            <w:vAlign w:val="center"/>
          </w:tcPr>
          <w:p>
            <w:r>
              <w:rPr>
                <w:b w:val="false"/>
                <w:bCs w:val="false"/>
                <w:sz w:val="19"/>
                <w:szCs w:val="19"/>
              </w:rPr>
              <w:t xml:space="preserve">Room photo after size, orientation, and color normalization.</w:t>
            </w:r>
          </w:p>
        </w:tc>
      </w:tr>
      <w:tr>
        <w:tc>
          <w:tcPr>
            <w:tcW w:type="dxa" w:w="2600"/>
            <w:tcMar>
              <w:top w:type="dxa" w:w="80"/>
              <w:left w:type="dxa" w:w="100"/>
              <w:bottom w:type="dxa" w:w="80"/>
              <w:right w:type="dxa" w:w="100"/>
            </w:tcMar>
            <w:vAlign w:val="center"/>
          </w:tcPr>
          <w:p>
            <w:r>
              <w:rPr>
                <w:b w:val="false"/>
                <w:bCs w:val="false"/>
                <w:sz w:val="19"/>
                <w:szCs w:val="19"/>
              </w:rPr>
              <w:t xml:space="preserve">Segmentation Mask</w:t>
            </w:r>
          </w:p>
        </w:tc>
        <w:tc>
          <w:tcPr>
            <w:tcW w:type="dxa" w:w="6408"/>
            <w:tcMar>
              <w:top w:type="dxa" w:w="80"/>
              <w:left w:type="dxa" w:w="100"/>
              <w:bottom w:type="dxa" w:w="80"/>
              <w:right w:type="dxa" w:w="100"/>
            </w:tcMar>
            <w:vAlign w:val="center"/>
          </w:tcPr>
          <w:p>
            <w:r>
              <w:rPr>
                <w:b w:val="false"/>
                <w:bCs w:val="false"/>
                <w:sz w:val="19"/>
                <w:szCs w:val="19"/>
              </w:rPr>
              <w:t xml:space="preserve">Pixel-level mask identifying the selected room component(s) within the image.</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Depth / Perspective Data</w:t>
            </w:r>
          </w:p>
        </w:tc>
        <w:tc>
          <w:tcPr>
            <w:tcW w:type="dxa" w:w="6408"/>
            <w:shd w:fill="F2F2F2" w:val="clear"/>
            <w:tcMar>
              <w:top w:type="dxa" w:w="80"/>
              <w:left w:type="dxa" w:w="100"/>
              <w:bottom w:type="dxa" w:w="80"/>
              <w:right w:type="dxa" w:w="100"/>
            </w:tcMar>
            <w:vAlign w:val="center"/>
          </w:tcPr>
          <w:p>
            <w:r>
              <w:rPr>
                <w:b w:val="false"/>
                <w:bCs w:val="false"/>
                <w:sz w:val="19"/>
                <w:szCs w:val="19"/>
              </w:rPr>
              <w:t xml:space="preserve">Estimated scene geometry (depth map, camera perspective, surface orientation).</w:t>
            </w:r>
          </w:p>
        </w:tc>
      </w:tr>
      <w:tr>
        <w:tc>
          <w:tcPr>
            <w:tcW w:type="dxa" w:w="2600"/>
            <w:tcMar>
              <w:top w:type="dxa" w:w="80"/>
              <w:left w:type="dxa" w:w="100"/>
              <w:bottom w:type="dxa" w:w="80"/>
              <w:right w:type="dxa" w:w="100"/>
            </w:tcMar>
            <w:vAlign w:val="center"/>
          </w:tcPr>
          <w:p>
            <w:r>
              <w:rPr>
                <w:b w:val="false"/>
                <w:bCs w:val="false"/>
                <w:sz w:val="19"/>
                <w:szCs w:val="19"/>
              </w:rPr>
              <w:t xml:space="preserve">Vinyl Texture</w:t>
            </w:r>
          </w:p>
        </w:tc>
        <w:tc>
          <w:tcPr>
            <w:tcW w:type="dxa" w:w="6408"/>
            <w:tcMar>
              <w:top w:type="dxa" w:w="80"/>
              <w:left w:type="dxa" w:w="100"/>
              <w:bottom w:type="dxa" w:w="80"/>
              <w:right w:type="dxa" w:w="100"/>
            </w:tcMar>
            <w:vAlign w:val="center"/>
          </w:tcPr>
          <w:p>
            <w:r>
              <w:rPr>
                <w:b w:val="false"/>
                <w:bCs w:val="false"/>
                <w:sz w:val="19"/>
                <w:szCs w:val="19"/>
              </w:rPr>
              <w:t xml:space="preserve">High-resolution catalogue texture image tied to a Vinyl ID and color code.</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Composite Render</w:t>
            </w:r>
          </w:p>
        </w:tc>
        <w:tc>
          <w:tcPr>
            <w:tcW w:type="dxa" w:w="6408"/>
            <w:shd w:fill="F2F2F2" w:val="clear"/>
            <w:tcMar>
              <w:top w:type="dxa" w:w="80"/>
              <w:left w:type="dxa" w:w="100"/>
              <w:bottom w:type="dxa" w:w="80"/>
              <w:right w:type="dxa" w:w="100"/>
            </w:tcMar>
            <w:vAlign w:val="center"/>
          </w:tcPr>
          <w:p>
            <w:r>
              <w:rPr>
                <w:b w:val="false"/>
                <w:bCs w:val="false"/>
                <w:sz w:val="19"/>
                <w:szCs w:val="19"/>
              </w:rPr>
              <w:t xml:space="preserve">Intermediate image with vinyl texture projected onto the segmented surface, pre-refinement.</w:t>
            </w:r>
          </w:p>
        </w:tc>
      </w:tr>
      <w:tr>
        <w:tc>
          <w:tcPr>
            <w:tcW w:type="dxa" w:w="2600"/>
            <w:tcMar>
              <w:top w:type="dxa" w:w="80"/>
              <w:left w:type="dxa" w:w="100"/>
              <w:bottom w:type="dxa" w:w="80"/>
              <w:right w:type="dxa" w:w="100"/>
            </w:tcMar>
            <w:vAlign w:val="center"/>
          </w:tcPr>
          <w:p>
            <w:r>
              <w:rPr>
                <w:b w:val="false"/>
                <w:bCs w:val="false"/>
                <w:sz w:val="19"/>
                <w:szCs w:val="19"/>
              </w:rPr>
              <w:t xml:space="preserve">Final Visualization</w:t>
            </w:r>
          </w:p>
        </w:tc>
        <w:tc>
          <w:tcPr>
            <w:tcW w:type="dxa" w:w="6408"/>
            <w:tcMar>
              <w:top w:type="dxa" w:w="80"/>
              <w:left w:type="dxa" w:w="100"/>
              <w:bottom w:type="dxa" w:w="80"/>
              <w:right w:type="dxa" w:w="100"/>
            </w:tcMar>
            <w:vAlign w:val="center"/>
          </w:tcPr>
          <w:p>
            <w:r>
              <w:rPr>
                <w:b w:val="false"/>
                <w:bCs w:val="false"/>
                <w:sz w:val="19"/>
                <w:szCs w:val="19"/>
              </w:rPr>
              <w:t xml:space="preserve">Post-processed, artifact-free output image delivered to the user.</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Project Record</w:t>
            </w:r>
          </w:p>
        </w:tc>
        <w:tc>
          <w:tcPr>
            <w:tcW w:type="dxa" w:w="6408"/>
            <w:shd w:fill="F2F2F2" w:val="clear"/>
            <w:tcMar>
              <w:top w:type="dxa" w:w="80"/>
              <w:left w:type="dxa" w:w="100"/>
              <w:bottom w:type="dxa" w:w="80"/>
              <w:right w:type="dxa" w:w="100"/>
            </w:tcMar>
            <w:vAlign w:val="center"/>
          </w:tcPr>
          <w:p>
            <w:r>
              <w:rPr>
                <w:b w:val="false"/>
                <w:bCs w:val="false"/>
                <w:sz w:val="19"/>
                <w:szCs w:val="19"/>
              </w:rPr>
              <w:t xml:space="preserve">Stored metadata linking a user, room image, selected surfaces, applied vinyl(s), and outputs.</w:t>
            </w:r>
          </w:p>
        </w:tc>
      </w:tr>
      <w:tr>
        <w:tc>
          <w:tcPr>
            <w:tcW w:type="dxa" w:w="2600"/>
            <w:tcMar>
              <w:top w:type="dxa" w:w="80"/>
              <w:left w:type="dxa" w:w="100"/>
              <w:bottom w:type="dxa" w:w="80"/>
              <w:right w:type="dxa" w:w="100"/>
            </w:tcMar>
            <w:vAlign w:val="center"/>
          </w:tcPr>
          <w:p>
            <w:r>
              <w:rPr>
                <w:b w:val="false"/>
                <w:bCs w:val="false"/>
                <w:sz w:val="19"/>
                <w:szCs w:val="19"/>
              </w:rPr>
              <w:t xml:space="preserve">Quotation Record</w:t>
            </w:r>
          </w:p>
        </w:tc>
        <w:tc>
          <w:tcPr>
            <w:tcW w:type="dxa" w:w="6408"/>
            <w:tcMar>
              <w:top w:type="dxa" w:w="80"/>
              <w:left w:type="dxa" w:w="100"/>
              <w:bottom w:type="dxa" w:w="80"/>
              <w:right w:type="dxa" w:w="100"/>
            </w:tcMar>
            <w:vAlign w:val="center"/>
          </w:tcPr>
          <w:p>
            <w:r>
              <w:rPr>
                <w:b w:val="false"/>
                <w:bCs w:val="false"/>
                <w:sz w:val="19"/>
                <w:szCs w:val="19"/>
              </w:rPr>
              <w:t xml:space="preserve">Pricing and scope details tied to an approved project, used for customer sign-off and installer hand-off.</w:t>
            </w:r>
          </w:p>
        </w:tc>
      </w:tr>
    </w:tbl>
    <w:p>
      <w:pPr>
        <w:pStyle w:val="Heading1"/>
        <w:spacing w:after="160" w:before="360"/>
      </w:pPr>
      <w:r>
        <w:t xml:space="preserve">9. Data Flow Narrative (End-to-End)</w:t>
      </w:r>
    </w:p>
    <w:p>
      <w:pPr>
        <w:spacing w:after="160"/>
      </w:pPr>
      <w:r>
        <w:t xml:space="preserve">A Homeowner authenticates (Process 1), producing a session token validated against the User/Account DB (D1). They upload a room photo, which Process 2 normalizes and stores in Image/Asset Storage (D3). After the user selects a surface, Process 3 generates a segmentation mask, and Process 4 estimates depth and perspective from the normalized image and mask.</w:t>
      </w:r>
    </w:p>
    <w:p>
      <w:pPr>
        <w:spacing w:after="160"/>
      </w:pPr>
      <w:r>
        <w:t xml:space="preserve">In parallel, the user's vinyl selection is resolved against the Vinyl Catalogue DB (D2), populated earlier by Company Admins through Process 7. Process 5 projects the selected vinyl texture onto the segmented surface using the depth/perspective data, producing a composite render. Process 6 refines this render into the final visualization, storing the output in Image/Asset Storage (D3) and recording the project in the Visualization/Project DB (D4) via Process 8.</w:t>
      </w:r>
    </w:p>
    <w:p>
      <w:pPr>
        <w:spacing w:after="160"/>
      </w:pPr>
      <w:r>
        <w:t xml:space="preserve">If a Sales Representative is driving the session and the customer approves the design, Process 9 generates a quotation referencing the approved project and writes it to the Quotation DB (D5). Once the quotation is marked approved, a Vinyl Installer can retrieve the approved visualization and quotation summary to confirm installation scope.</w:t>
      </w:r>
    </w:p>
    <w:p>
      <w:pPr>
        <w:pStyle w:val="Heading1"/>
        <w:spacing w:after="160" w:before="360"/>
      </w:pPr>
      <w:r>
        <w:t xml:space="preserve">10. Data Retention &amp; Access Notes</w:t>
      </w:r>
    </w:p>
    <w:p>
      <w:pPr>
        <w:pStyle w:val="ListParagraph"/>
        <w:numPr>
          <w:ilvl w:val="0"/>
          <w:numId w:val="2"/>
        </w:numPr>
        <w:spacing w:after="60"/>
      </w:pPr>
      <w:r>
        <w:t xml:space="preserve">Room photos and generated visualizations are tenant-scoped — a Company Admin's catalogue and a Homeowner's project data are logically isolated per company account.</w:t>
      </w:r>
    </w:p>
    <w:p>
      <w:pPr>
        <w:pStyle w:val="ListParagraph"/>
        <w:numPr>
          <w:ilvl w:val="0"/>
          <w:numId w:val="2"/>
        </w:numPr>
        <w:spacing w:after="60"/>
      </w:pPr>
      <w:r>
        <w:t xml:space="preserve">Installers only gain read access to a project's visualization and quotation after it is marked customer-approved (see App Flow Document, Section 11).</w:t>
      </w:r>
    </w:p>
    <w:p>
      <w:pPr>
        <w:pStyle w:val="ListParagraph"/>
        <w:numPr>
          <w:ilvl w:val="0"/>
          <w:numId w:val="2"/>
        </w:numPr>
        <w:spacing w:after="60"/>
      </w:pPr>
      <w:r>
        <w:t xml:space="preserve">Vinyl catalogue texture assets (D2) are shared read-only across all sessions within a tenant, but are not writable by Homeowners or Installers.</w:t>
      </w:r>
    </w:p>
    <w:p>
      <w:pPr>
        <w:pStyle w:val="ListParagraph"/>
        <w:numPr>
          <w:ilvl w:val="0"/>
          <w:numId w:val="2"/>
        </w:numPr>
        <w:spacing w:after="60"/>
      </w:pPr>
      <w:r>
        <w:t xml:space="preserve">Specific retention periods, encryption-at-rest requirements, and deletion workflows are to be defined during technical design and are out of scope for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b7114768b46ebd7b8c249631a2065e50fb82e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2026-08-01T09:57:23.128Z</dcterms:created>
  <dcterms:modified xsi:type="dcterms:W3CDTF">2026-08-01T09:57:23.143Z</dcterms:modified>
</cp:coreProperties>
</file>

<file path=docProps/custom.xml><?xml version="1.0" encoding="utf-8"?>
<Properties xmlns="http://schemas.openxmlformats.org/officeDocument/2006/custom-properties" xmlns:vt="http://schemas.openxmlformats.org/officeDocument/2006/docPropsVTypes"/>
</file>