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数据分析平台技术文档 v1.5</w:t>
      </w:r>
    </w:p>
    <w:p>
      <w:pPr>
        <w:pStyle w:val="Heading1"/>
      </w:pPr>
      <w:r>
        <w:t>一、系统架构概述</w:t>
      </w:r>
    </w:p>
    <w:p>
      <w:r>
        <w:t>本平台采用微服务架构，前后端分离设计。整体分为四层：</w:t>
      </w:r>
    </w:p>
    <w:p>
      <w:r>
        <w:t>数据接入层：支持MySQL、PostgreSQL、MongoDB、ClickHouse等数据源接入。采用Apache Kafka作为消息队列，保证数据实时性和可靠性。</w:t>
      </w:r>
    </w:p>
    <w:p>
      <w:r>
        <w:t>数据处理层：使用Apache Spark进行大规模数据计算，配合Apache Flink处理实时流数据。ETL任务通过Airflow进行编排调度。</w:t>
      </w:r>
    </w:p>
    <w:p>
      <w:r>
        <w:t>数据存储层：热数据使用ClickHouse（OLAP查询，响应时间&lt;1秒），温数据使用PostgreSQL，冷数据使用对象存储（压缩比&gt;10:1）。</w:t>
      </w:r>
    </w:p>
    <w:p>
      <w:r>
        <w:t>应用服务层：后端FastAPI框架，前端React+TypeScript+ECharts。</w:t>
      </w:r>
    </w:p>
    <w:p>
      <w:pPr>
        <w:pStyle w:val="Heading1"/>
      </w:pPr>
      <w:r>
        <w:t>二、API设计规范</w:t>
      </w:r>
    </w:p>
    <w:p>
      <w:r>
        <w:t>所有API遵循RESTful规范。认证采用JWT Token，有效期2小时。接口限流默认100次/分钟/用户。</w:t>
      </w:r>
    </w:p>
    <w:p>
      <w:pPr>
        <w:pStyle w:val="Heading1"/>
      </w:pPr>
      <w:r>
        <w:t>三、性能优化</w:t>
      </w:r>
    </w:p>
    <w:p>
      <w:r>
        <w:t>API P99延迟&lt;200ms，数据看板首屏加载&lt;1.5秒，并发查询数&gt;500 QPS。优化手段包括Redis缓存热点数据、CDN加速、数据库连接池、异步任务队列。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