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PingFang SC" w:hAnsi="PingFang SC" w:eastAsia="PingFang SC" w:cs="PingFang SC"/>
          <w:b/>
          <w:color w:val="2E74B5"/>
          <w:sz w:val="22"/>
        </w:rPr>
        <w:t>产品需求文档  /  PRD</w:t>
      </w:r>
    </w:p>
    <w:p>
      <w:pPr>
        <w:spacing w:before="160" w:after="160"/>
      </w:pPr>
      <w:r>
        <w:rPr>
          <w:rFonts w:ascii="PingFang SC" w:hAnsi="PingFang SC" w:eastAsia="PingFang SC" w:cs="PingFang SC"/>
          <w:b/>
          <w:color w:val="17365D"/>
          <w:sz w:val="52"/>
        </w:rPr>
        <w:t>神州HR考勤与薪资核算系统</w:t>
      </w:r>
    </w:p>
    <w:p>
      <w:pPr>
        <w:spacing w:before="0" w:after="200"/>
      </w:pPr>
      <w:r>
        <w:rPr>
          <w:rFonts w:ascii="PingFang SC" w:hAnsi="PingFang SC" w:eastAsia="PingFang SC" w:cs="PingFang SC"/>
          <w:color w:val="667085"/>
          <w:sz w:val="27"/>
        </w:rPr>
        <w:t>组织期初导入 · 独立人事底座 · 班组化考勤 · 时间账户 · 薪资后端预留</w:t>
      </w:r>
    </w:p>
    <w:p>
      <w:pPr>
        <w:spacing w:before="100" w:after="160" w:line="264" w:lineRule="auto"/>
        <w:shd w:fill="F5F9FC"/>
        <w:pBdr>
          <w:left w:val="single" w:sz="18" w:space="8" w:color="2E74B5"/>
        </w:pBdr>
        <w:ind w:left="160" w:right="160"/>
        <w:keepLines/>
      </w:pPr>
      <w:r>
        <w:rPr>
          <w:rFonts w:ascii="PingFang SC" w:hAnsi="PingFang SC" w:eastAsia="PingFang SC" w:cs="PingFang SC"/>
          <w:b/>
          <w:color w:val="2E74B5"/>
          <w:sz w:val="21"/>
        </w:rPr>
        <w:t xml:space="preserve">本版结论  </w:t>
      </w:r>
      <w:r>
        <w:rPr>
          <w:rFonts w:ascii="PingFang SC" w:hAnsi="PingFang SC" w:eastAsia="PingFang SC" w:cs="PingFang SC"/>
          <w:color w:val="1F2937"/>
          <w:sz w:val="21"/>
        </w:rPr>
        <w:t>V1.9 延续考勤闭环首发边界，并补齐可执行配置：用户使用本系统独立账号密码登录；夏冬令班次、迟到月度豁免、餐扣和缺卡逾期策略均配置到考勤班组；所有假别采用版本化策略且默认按工作日；年假按最新入职周年、累计工龄档位和可配置资格门槛管理。薪资仍只建设后端预留能力，所有前台入口和数据请求默认关闭。</w:t>
      </w:r>
    </w:p>
    <w:tbl>
      <w:tblPr>
        <w:tblStyle w:val="TableGrid"/>
        <w:tblW w:type="dxa" w:w="9360"/>
        <w:jc w:val="left"/>
        <w:tblLayout w:type="fixed"/>
        <w:tblLook w:firstColumn="1" w:firstRow="1" w:lastColumn="0" w:lastRow="0" w:noHBand="0" w:noVBand="1" w:val="04A0"/>
        <w:tblInd w:type="dxa" w:w="120"/>
      </w:tblPr>
      <w:tblGrid>
        <w:gridCol w:w="1440"/>
        <w:gridCol w:w="3096"/>
        <w:gridCol w:w="1440"/>
        <w:gridCol w:w="3384"/>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项目</w:t>
            </w:r>
          </w:p>
        </w:tc>
        <w:tc>
          <w:tcPr>
            <w:tcW w:type="dxa" w:w="309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内容</w:t>
            </w:r>
          </w:p>
        </w:tc>
        <w:tc>
          <w:tcPr>
            <w:tcW w:type="dxa" w:w="144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项目</w:t>
            </w:r>
          </w:p>
        </w:tc>
        <w:tc>
          <w:tcPr>
            <w:tcW w:type="dxa" w:w="338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内容</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F2937"/>
                <w:sz w:val="17"/>
              </w:rPr>
              <w:t>文档版本</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V1.9</w:t>
            </w:r>
          </w:p>
        </w:tc>
        <w:tc>
          <w:tcPr>
            <w:tcW w:type="dxa" w:w="1440"/>
            <w:vAlign w:val="center"/>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val="0"/>
                <w:color w:val="1F2937"/>
                <w:sz w:val="17"/>
              </w:rPr>
              <w:t>文档状态</w:t>
            </w:r>
          </w:p>
        </w:tc>
        <w:tc>
          <w:tcPr>
            <w:tcW w:type="dxa" w:w="33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规则配置确认稿</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F2937"/>
                <w:sz w:val="17"/>
              </w:rPr>
              <w:t>项目优先级</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P0 / P0-B</w:t>
            </w:r>
          </w:p>
        </w:tc>
        <w:tc>
          <w:tcPr>
            <w:tcW w:type="dxa" w:w="1440"/>
            <w:vAlign w:val="center"/>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val="0"/>
                <w:color w:val="1F2937"/>
                <w:sz w:val="17"/>
              </w:rPr>
              <w:t>更新日期</w:t>
            </w:r>
          </w:p>
        </w:tc>
        <w:tc>
          <w:tcPr>
            <w:tcW w:type="dxa" w:w="33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2026-07-21</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F2937"/>
                <w:sz w:val="17"/>
              </w:rPr>
              <w:t>需求来源</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V1.7、8 张客户材料、本轮口径</w:t>
            </w:r>
          </w:p>
        </w:tc>
        <w:tc>
          <w:tcPr>
            <w:tcW w:type="dxa" w:w="1440"/>
            <w:vAlign w:val="center"/>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val="0"/>
                <w:color w:val="1F2937"/>
                <w:sz w:val="17"/>
              </w:rPr>
              <w:t>适用范围</w:t>
            </w:r>
          </w:p>
        </w:tc>
        <w:tc>
          <w:tcPr>
            <w:tcW w:type="dxa" w:w="33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产品、设计、开发、测试</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F2937"/>
                <w:sz w:val="17"/>
              </w:rPr>
              <w:t>设计基线</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通用 HR 的分组/分层/台账/闭环</w:t>
            </w:r>
          </w:p>
        </w:tc>
        <w:tc>
          <w:tcPr>
            <w:tcW w:type="dxa" w:w="1440"/>
            <w:vAlign w:val="center"/>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val="0"/>
                <w:color w:val="1F2937"/>
                <w:sz w:val="17"/>
              </w:rPr>
              <w:t>保密级别</w:t>
            </w:r>
          </w:p>
        </w:tc>
        <w:tc>
          <w:tcPr>
            <w:tcW w:type="dxa" w:w="33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内部使用</w:t>
            </w:r>
          </w:p>
        </w:tc>
      </w:tr>
    </w:tbl>
    <w:p>
      <w:pPr>
        <w:spacing w:after="40"/>
      </w:pPr>
    </w:p>
    <w:p>
      <w:pPr>
        <w:pStyle w:val="Heading2"/>
        <w:keepNext/>
      </w:pPr>
      <w:r>
        <w:rPr>
          <w:rFonts w:ascii="PingFang SC" w:hAnsi="PingFang SC" w:eastAsia="PingFang SC" w:cs="PingFang SC"/>
        </w:rPr>
        <w:t>版本变更</w:t>
      </w:r>
    </w:p>
    <w:tbl>
      <w:tblPr>
        <w:tblStyle w:val="TableGrid"/>
        <w:tblW w:type="dxa" w:w="9360"/>
        <w:jc w:val="left"/>
        <w:tblLayout w:type="fixed"/>
        <w:tblLook w:firstColumn="1" w:firstRow="1" w:lastColumn="0" w:lastRow="0" w:noHBand="0" w:noVBand="1" w:val="04A0"/>
        <w:tblInd w:type="dxa" w:w="120"/>
      </w:tblPr>
      <w:tblGrid>
        <w:gridCol w:w="1080"/>
        <w:gridCol w:w="1656"/>
        <w:gridCol w:w="1440"/>
        <w:gridCol w:w="5184"/>
      </w:tblGrid>
      <w:tr>
        <w:trPr>
          <w:tblHeader w:val="true"/>
          <w:cantSplit w:val="true"/>
        </w:trPr>
        <w:tc>
          <w:tcPr>
            <w:tcW w:type="dxa" w:w="108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版本</w:t>
            </w:r>
          </w:p>
        </w:tc>
        <w:tc>
          <w:tcPr>
            <w:tcW w:type="dxa" w:w="165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日期</w:t>
            </w:r>
          </w:p>
        </w:tc>
        <w:tc>
          <w:tcPr>
            <w:tcW w:type="dxa" w:w="144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状态</w:t>
            </w:r>
          </w:p>
        </w:tc>
        <w:tc>
          <w:tcPr>
            <w:tcW w:type="dxa" w:w="518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关键变化</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V1.7</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2026-07-19</w:t>
            </w:r>
          </w:p>
        </w:tc>
        <w:tc>
          <w:tcPr>
            <w:tcW w:type="dxa" w:w="14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原基线</w:t>
            </w:r>
          </w:p>
        </w:tc>
        <w:tc>
          <w:tcPr>
            <w:tcW w:type="dxa" w:w="51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持续组织同步、复杂组织版本、完整薪资前台和全薪税闭环</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V1.8</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2026-07-21</w:t>
            </w:r>
          </w:p>
        </w:tc>
        <w:tc>
          <w:tcPr>
            <w:tcW w:type="dxa" w:w="14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前版基线</w:t>
            </w:r>
          </w:p>
        </w:tc>
        <w:tc>
          <w:tcPr>
            <w:tcW w:type="dxa" w:w="51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组织改为期初 Excel；班组解决例外；新增期初工时；年假采用本公司门槛 + 累计工龄档位；薪资前台隐藏</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V1.9</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2026-07-21</w:t>
            </w:r>
          </w:p>
        </w:tc>
        <w:tc>
          <w:tcPr>
            <w:tcW w:type="dxa" w:w="14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本次确认</w:t>
            </w:r>
          </w:p>
        </w:tc>
        <w:tc>
          <w:tcPr>
            <w:tcW w:type="dxa" w:w="51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独立账号密码；夏冬令/餐扣/迟到/缺卡按组可配；假别默认工作日；年假周年发放、周年失效和二次入职重置</w:t>
            </w:r>
          </w:p>
        </w:tc>
      </w:tr>
    </w:tbl>
    <w:p>
      <w:pPr>
        <w:spacing w:after="40"/>
      </w:pPr>
    </w:p>
    <w:p>
      <w:pPr>
        <w:spacing w:before="100" w:after="160" w:line="264" w:lineRule="auto"/>
        <w:shd w:fill="EAF6EF"/>
        <w:pBdr>
          <w:left w:val="single" w:sz="18" w:space="8" w:color="277A53"/>
        </w:pBdr>
        <w:ind w:left="160" w:right="160"/>
        <w:keepLines/>
      </w:pPr>
      <w:r>
        <w:rPr>
          <w:rFonts w:ascii="PingFang SC" w:hAnsi="PingFang SC" w:eastAsia="PingFang SC" w:cs="PingFang SC"/>
          <w:b/>
          <w:color w:val="277A53"/>
          <w:sz w:val="21"/>
        </w:rPr>
        <w:t xml:space="preserve">版本效力  </w:t>
      </w:r>
      <w:r>
        <w:rPr>
          <w:rFonts w:ascii="PingFang SC" w:hAnsi="PingFang SC" w:eastAsia="PingFang SC" w:cs="PingFang SC"/>
          <w:color w:val="1F2937"/>
          <w:sz w:val="21"/>
        </w:rPr>
        <w:t>V1.9 与 V1.8/V1.7 冲突时以 V1.9 为准；未被本版明确改动、且不与新边界冲突的考勤规则，可继续沿用。</w:t>
      </w:r>
    </w:p>
    <w:p>
      <w:pPr>
        <w:pStyle w:val="Heading1"/>
        <w:keepNext/>
        <w:pageBreakBefore/>
      </w:pPr>
      <w:r>
        <w:rPr>
          <w:rFonts w:ascii="PingFang SC" w:hAnsi="PingFang SC" w:eastAsia="PingFang SC" w:cs="PingFang SC"/>
        </w:rPr>
        <w:t>文档目录与阅读说明</w:t>
      </w:r>
    </w:p>
    <w:p>
      <w:pPr>
        <w:pStyle w:val="ListBullet"/>
        <w:spacing w:after="80" w:line="280" w:lineRule="auto"/>
      </w:pPr>
      <w:r>
        <w:rPr>
          <w:rFonts w:ascii="PingFang SC" w:hAnsi="PingFang SC" w:eastAsia="PingFang SC" w:cs="PingFang SC"/>
          <w:color w:val="1F2937"/>
          <w:sz w:val="22"/>
        </w:rPr>
        <w:t>1. 需求概述与产品判断</w:t>
      </w:r>
    </w:p>
    <w:p>
      <w:pPr>
        <w:pStyle w:val="ListBullet"/>
        <w:spacing w:after="80" w:line="280" w:lineRule="auto"/>
      </w:pPr>
      <w:r>
        <w:rPr>
          <w:rFonts w:ascii="PingFang SC" w:hAnsi="PingFang SC" w:eastAsia="PingFang SC" w:cs="PingFang SC"/>
          <w:color w:val="1F2937"/>
          <w:sz w:val="22"/>
        </w:rPr>
        <w:t>2. 产品范围、角色与权限</w:t>
      </w:r>
    </w:p>
    <w:p>
      <w:pPr>
        <w:pStyle w:val="ListBullet"/>
        <w:spacing w:after="80" w:line="280" w:lineRule="auto"/>
      </w:pPr>
      <w:r>
        <w:rPr>
          <w:rFonts w:ascii="PingFang SC" w:hAnsi="PingFang SC" w:eastAsia="PingFang SC" w:cs="PingFang SC"/>
          <w:color w:val="1F2937"/>
          <w:sz w:val="22"/>
        </w:rPr>
        <w:t>3. 产品结构与业务闭环</w:t>
      </w:r>
    </w:p>
    <w:p>
      <w:pPr>
        <w:pStyle w:val="ListBullet"/>
        <w:spacing w:after="80" w:line="280" w:lineRule="auto"/>
      </w:pPr>
      <w:r>
        <w:rPr>
          <w:rFonts w:ascii="PingFang SC" w:hAnsi="PingFang SC" w:eastAsia="PingFang SC" w:cs="PingFang SC"/>
          <w:color w:val="1F2937"/>
          <w:sz w:val="22"/>
        </w:rPr>
        <w:t>4. 基础人事、组织及期初导入</w:t>
      </w:r>
    </w:p>
    <w:p>
      <w:pPr>
        <w:pStyle w:val="ListBullet"/>
        <w:spacing w:after="80" w:line="280" w:lineRule="auto"/>
      </w:pPr>
      <w:r>
        <w:rPr>
          <w:rFonts w:ascii="PingFang SC" w:hAnsi="PingFang SC" w:eastAsia="PingFang SC" w:cs="PingFang SC"/>
          <w:color w:val="1F2937"/>
          <w:sz w:val="22"/>
        </w:rPr>
        <w:t>5. 考勤班组、班次与日历</w:t>
      </w:r>
    </w:p>
    <w:p>
      <w:pPr>
        <w:pStyle w:val="ListBullet"/>
        <w:spacing w:after="80" w:line="280" w:lineRule="auto"/>
      </w:pPr>
      <w:r>
        <w:rPr>
          <w:rFonts w:ascii="PingFang SC" w:hAnsi="PingFang SC" w:eastAsia="PingFang SC" w:cs="PingFang SC"/>
          <w:color w:val="1F2937"/>
          <w:sz w:val="22"/>
        </w:rPr>
        <w:t>6. 数据接入、标准化与证据模型</w:t>
      </w:r>
    </w:p>
    <w:p>
      <w:pPr>
        <w:pStyle w:val="ListBullet"/>
        <w:spacing w:after="80" w:line="280" w:lineRule="auto"/>
      </w:pPr>
      <w:r>
        <w:rPr>
          <w:rFonts w:ascii="PingFang SC" w:hAnsi="PingFang SC" w:eastAsia="PingFang SC" w:cs="PingFang SC"/>
          <w:color w:val="1F2937"/>
          <w:sz w:val="22"/>
        </w:rPr>
        <w:t>7. 日考勤、异常、加班与外出规则</w:t>
      </w:r>
    </w:p>
    <w:p>
      <w:pPr>
        <w:pStyle w:val="ListBullet"/>
        <w:spacing w:after="80" w:line="280" w:lineRule="auto"/>
      </w:pPr>
      <w:r>
        <w:rPr>
          <w:rFonts w:ascii="PingFang SC" w:hAnsi="PingFang SC" w:eastAsia="PingFang SC" w:cs="PingFang SC"/>
          <w:color w:val="1F2937"/>
          <w:sz w:val="22"/>
        </w:rPr>
        <w:t>8. 假期、年假算法与期初工时台账</w:t>
      </w:r>
    </w:p>
    <w:p>
      <w:pPr>
        <w:pStyle w:val="ListBullet"/>
        <w:spacing w:after="80" w:line="280" w:lineRule="auto"/>
      </w:pPr>
      <w:r>
        <w:rPr>
          <w:rFonts w:ascii="PingFang SC" w:hAnsi="PingFang SC" w:eastAsia="PingFang SC" w:cs="PingFang SC"/>
          <w:color w:val="1F2937"/>
          <w:sz w:val="22"/>
        </w:rPr>
        <w:t>9. 管理后台、员工端、看板与报表</w:t>
      </w:r>
    </w:p>
    <w:p>
      <w:pPr>
        <w:pStyle w:val="ListBullet"/>
        <w:spacing w:after="80" w:line="280" w:lineRule="auto"/>
      </w:pPr>
      <w:r>
        <w:rPr>
          <w:rFonts w:ascii="PingFang SC" w:hAnsi="PingFang SC" w:eastAsia="PingFang SC" w:cs="PingFang SC"/>
          <w:color w:val="1F2937"/>
          <w:sz w:val="22"/>
        </w:rPr>
        <w:t>10. 薪资后台预留</w:t>
      </w:r>
    </w:p>
    <w:p>
      <w:pPr>
        <w:pStyle w:val="ListBullet"/>
        <w:spacing w:after="80" w:line="280" w:lineRule="auto"/>
      </w:pPr>
      <w:r>
        <w:rPr>
          <w:rFonts w:ascii="PingFang SC" w:hAnsi="PingFang SC" w:eastAsia="PingFang SC" w:cs="PingFang SC"/>
          <w:color w:val="1F2937"/>
          <w:sz w:val="22"/>
        </w:rPr>
        <w:t>11. 数据、非功能、安全与指标</w:t>
      </w:r>
    </w:p>
    <w:p>
      <w:pPr>
        <w:pStyle w:val="ListBullet"/>
        <w:spacing w:after="80" w:line="280" w:lineRule="auto"/>
      </w:pPr>
      <w:r>
        <w:rPr>
          <w:rFonts w:ascii="PingFang SC" w:hAnsi="PingFang SC" w:eastAsia="PingFang SC" w:cs="PingFang SC"/>
          <w:color w:val="1F2937"/>
          <w:sz w:val="22"/>
        </w:rPr>
        <w:t>12. 验收标准、计划与风险</w:t>
      </w:r>
    </w:p>
    <w:p>
      <w:pPr>
        <w:pStyle w:val="ListBullet"/>
        <w:spacing w:after="80" w:line="280" w:lineRule="auto"/>
      </w:pPr>
      <w:r>
        <w:rPr>
          <w:rFonts w:ascii="PingFang SC" w:hAnsi="PingFang SC" w:eastAsia="PingFang SC" w:cs="PingFang SC"/>
          <w:color w:val="1F2937"/>
          <w:sz w:val="22"/>
        </w:rPr>
        <w:t>附录A. 导入字段、原因码与需求追踪</w:t>
      </w:r>
    </w:p>
    <w:p>
      <w:pPr>
        <w:pStyle w:val="ListBullet"/>
        <w:spacing w:after="80" w:line="280" w:lineRule="auto"/>
      </w:pPr>
      <w:r>
        <w:rPr>
          <w:rFonts w:ascii="PingFang SC" w:hAnsi="PingFang SC" w:eastAsia="PingFang SC" w:cs="PingFang SC"/>
          <w:color w:val="1F2937"/>
          <w:sz w:val="22"/>
        </w:rPr>
        <w:t>附录B. 竞品与法规参考</w:t>
      </w:r>
    </w:p>
    <w:p>
      <w:pPr>
        <w:spacing w:before="100" w:after="160" w:line="264" w:lineRule="auto"/>
        <w:shd w:fill="EAF2F8"/>
        <w:pBdr>
          <w:left w:val="single" w:sz="18" w:space="8" w:color="2E74B5"/>
        </w:pBdr>
        <w:ind w:left="160" w:right="160"/>
        <w:keepLines/>
      </w:pPr>
      <w:r>
        <w:rPr>
          <w:rFonts w:ascii="PingFang SC" w:hAnsi="PingFang SC" w:eastAsia="PingFang SC" w:cs="PingFang SC"/>
          <w:b/>
          <w:color w:val="2E74B5"/>
          <w:sz w:val="21"/>
        </w:rPr>
        <w:t xml:space="preserve">阅读指引  </w:t>
      </w:r>
      <w:r>
        <w:rPr>
          <w:rFonts w:ascii="PingFang SC" w:hAnsi="PingFang SC" w:eastAsia="PingFang SC" w:cs="PingFang SC"/>
          <w:color w:val="1F2937"/>
          <w:sz w:val="21"/>
        </w:rPr>
        <w:t>P0 是本次上线可见能力；P0-B 是本次开发但不可见的薪资后端预留；P1/P2 只保留扩展位，不纳入本次验收。规则中的默认值可直接进入设计与开发，已确认配置基线及唯一外部依赖集中列在 12.4。</w:t>
      </w:r>
    </w:p>
    <w:p>
      <w:r>
        <w:rPr>
          <w:rFonts w:ascii="PingFang SC" w:hAnsi="PingFang SC" w:eastAsia="PingFang SC" w:cs="PingFang SC"/>
        </w:rPr>
        <w:br w:type="page"/>
      </w:r>
    </w:p>
    <w:p>
      <w:pPr>
        <w:pStyle w:val="Heading1"/>
        <w:keepNext/>
      </w:pPr>
      <w:r>
        <w:rPr>
          <w:rFonts w:ascii="PingFang SC" w:hAnsi="PingFang SC" w:eastAsia="PingFang SC" w:cs="PingFang SC"/>
        </w:rPr>
        <w:t>1. 需求概述与产品判断</w:t>
      </w:r>
    </w:p>
    <w:p>
      <w:pPr>
        <w:pStyle w:val="Heading2"/>
        <w:keepNext/>
      </w:pPr>
      <w:r>
        <w:rPr>
          <w:rFonts w:ascii="PingFang SC" w:hAnsi="PingFang SC" w:eastAsia="PingFang SC" w:cs="PingFang SC"/>
        </w:rPr>
        <w:t>1.1 业务背景</w:t>
      </w:r>
    </w:p>
    <w:p>
      <w:pPr>
        <w:spacing w:after="120"/>
      </w:pPr>
      <w:r>
        <w:rPr>
          <w:rFonts w:ascii="PingFang SC" w:hAnsi="PingFang SC" w:eastAsia="PingFang SC" w:cs="PingFang SC"/>
          <w:i w:val="0"/>
          <w:color w:val="1F2937"/>
          <w:sz w:val="22"/>
        </w:rPr>
        <w:t>当前业务需要把得力云打卡、致远 OA 的请假/加班/出差/外出/补签单据，以及人工维护的班次和期初余额统一为可解释的日考勤和月度结果。原 V1.7 同时覆盖持续组织同步、复杂组织身份版本和完整薪税前台，超出了本轮客户希望优先解决的考勤问题。</w:t>
      </w:r>
    </w:p>
    <w:p>
      <w:pPr>
        <w:spacing w:after="120"/>
      </w:pPr>
      <w:r>
        <w:rPr>
          <w:rFonts w:ascii="PingFang SC" w:hAnsi="PingFang SC" w:eastAsia="PingFang SC" w:cs="PingFang SC"/>
          <w:i w:val="0"/>
          <w:color w:val="1F2937"/>
          <w:sz w:val="22"/>
        </w:rPr>
        <w:t>客户本轮要求做减法：上线期从致远 OA 导出组织架构 Excel 做一次初始化；上线后以神州 HR 为独立组织和人员底座；特殊城市、指定人员、孕检/哺乳等例外均通过通用 HR 的班组/考勤组配置；薪资后端可预留，但前台不显示。</w:t>
      </w:r>
    </w:p>
    <w:p>
      <w:pPr>
        <w:spacing w:after="120"/>
      </w:pPr>
      <w:r>
        <w:rPr>
          <w:rFonts w:ascii="PingFang SC" w:hAnsi="PingFang SC" w:eastAsia="PingFang SC" w:cs="PingFang SC"/>
          <w:i w:val="0"/>
          <w:color w:val="1F2937"/>
          <w:sz w:val="22"/>
        </w:rPr>
        <w:t>八张客户材料还明确了补签一周、临时加班 48 小时、跨日加班、迟到月度豁免、餐休扣减、地区班次、外出时段、各类假期、签到排行、定位核验、员工反馈、年假与调休余额查询等场景。本版把这些口径统一为班组、证据、时段、台账和月结五类通用对象，避免继续堆叠个人特例。</w:t>
      </w:r>
    </w:p>
    <w:p>
      <w:pPr>
        <w:pStyle w:val="Heading2"/>
        <w:keepNext/>
      </w:pPr>
      <w:r>
        <w:rPr>
          <w:rFonts w:ascii="PingFang SC" w:hAnsi="PingFang SC" w:eastAsia="PingFang SC" w:cs="PingFang SC"/>
        </w:rPr>
        <w:t>1.2 产品目标与成功标准</w:t>
      </w:r>
    </w:p>
    <w:tbl>
      <w:tblPr>
        <w:tblStyle w:val="TableGrid"/>
        <w:tblW w:type="dxa" w:w="9360"/>
        <w:jc w:val="left"/>
        <w:tblLayout w:type="fixed"/>
        <w:tblLook w:firstColumn="1" w:firstRow="1" w:lastColumn="0" w:lastRow="0" w:noHBand="0" w:noVBand="1" w:val="04A0"/>
        <w:tblInd w:type="dxa" w:w="120"/>
      </w:tblPr>
      <w:tblGrid>
        <w:gridCol w:w="1800"/>
        <w:gridCol w:w="4392"/>
        <w:gridCol w:w="3168"/>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目标</w:t>
            </w:r>
          </w:p>
        </w:tc>
        <w:tc>
          <w:tcPr>
            <w:tcW w:type="dxa" w:w="439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成功定义</w:t>
            </w:r>
          </w:p>
        </w:tc>
        <w:tc>
          <w:tcPr>
            <w:tcW w:type="dxa" w:w="316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建议验收指标</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建立独立 HR 底座</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组织、岗位、员工和考勤归属上线后均在本系统维护</w:t>
            </w:r>
          </w:p>
        </w:tc>
        <w:tc>
          <w:tcPr>
            <w:tcW w:type="dxa" w:w="31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期初导入校验通过后一次发布；导入后不再发起组织同步任务</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形成可解释考勤</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任一日结果都能下钻到班次、打卡、单据、规则和调整</w:t>
            </w:r>
          </w:p>
        </w:tc>
        <w:tc>
          <w:tcPr>
            <w:tcW w:type="dxa" w:w="31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金标准案例 100% 通过；汇总与明细差异为 0</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减少手工对账</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异常按原因集中处理，审批后自动重算</w:t>
            </w:r>
          </w:p>
        </w:tc>
        <w:tc>
          <w:tcPr>
            <w:tcW w:type="dxa" w:w="31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试运行第 2 个月自动计算率 &gt;=95%，人工调整率 &lt;=5%</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完成时间账户</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年假、调休和期初工时均以流水形成余额</w:t>
            </w:r>
          </w:p>
        </w:tc>
        <w:tc>
          <w:tcPr>
            <w:tcW w:type="dxa" w:w="31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同批重复导入不重复入账；余额与流水重算差异为 0</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控制薪资范围</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后端对象可演进，前台完全不可见</w:t>
            </w:r>
          </w:p>
        </w:tc>
        <w:tc>
          <w:tcPr>
            <w:tcW w:type="dxa" w:w="31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菜单、路由、搜索、接口、导出和埋点均不出现薪资明细</w:t>
            </w:r>
          </w:p>
        </w:tc>
      </w:tr>
    </w:tbl>
    <w:p>
      <w:pPr>
        <w:spacing w:after="40"/>
      </w:pPr>
    </w:p>
    <w:p>
      <w:pPr>
        <w:pStyle w:val="Heading2"/>
        <w:keepNext/>
      </w:pPr>
      <w:r>
        <w:rPr>
          <w:rFonts w:ascii="PingFang SC" w:hAnsi="PingFang SC" w:eastAsia="PingFang SC" w:cs="PingFang SC"/>
        </w:rPr>
        <w:t>1.3 产品设计原则</w:t>
      </w:r>
    </w:p>
    <w:p>
      <w:pPr>
        <w:pStyle w:val="ListBullet"/>
        <w:spacing w:after="80" w:line="280" w:lineRule="auto"/>
      </w:pPr>
      <w:r>
        <w:rPr>
          <w:rFonts w:ascii="PingFang SC" w:hAnsi="PingFang SC" w:eastAsia="PingFang SC" w:cs="PingFang SC"/>
          <w:color w:val="1F2937"/>
          <w:sz w:val="22"/>
        </w:rPr>
        <w:t>独立主数据：组织和员工一经期初导入，神州 HR 即成为本系统的权威来源；外部组织不再持续覆盖本地数据。</w:t>
      </w:r>
    </w:p>
    <w:p>
      <w:pPr>
        <w:pStyle w:val="ListBullet"/>
        <w:spacing w:after="80" w:line="280" w:lineRule="auto"/>
      </w:pPr>
      <w:r>
        <w:rPr>
          <w:rFonts w:ascii="PingFang SC" w:hAnsi="PingFang SC" w:eastAsia="PingFang SC" w:cs="PingFang SC"/>
          <w:color w:val="1F2937"/>
          <w:sz w:val="22"/>
        </w:rPr>
        <w:t>分组代替特例：班次、地点、季节、跨日、餐扣和特殊工时都挂在考勤班组及有效期上，不在代码中写城市或人名。</w:t>
      </w:r>
    </w:p>
    <w:p>
      <w:pPr>
        <w:pStyle w:val="ListBullet"/>
        <w:spacing w:after="80" w:line="280" w:lineRule="auto"/>
      </w:pPr>
      <w:r>
        <w:rPr>
          <w:rFonts w:ascii="PingFang SC" w:hAnsi="PingFang SC" w:eastAsia="PingFang SC" w:cs="PingFang SC"/>
          <w:color w:val="1F2937"/>
          <w:sz w:val="22"/>
        </w:rPr>
        <w:t>事实不改写：原始打卡和外部单据只追加；补签、销假和人工调整改变计算结果，不伪造或覆盖来源记录。</w:t>
      </w:r>
    </w:p>
    <w:p>
      <w:pPr>
        <w:pStyle w:val="ListBullet"/>
        <w:spacing w:after="80" w:line="280" w:lineRule="auto"/>
      </w:pPr>
      <w:r>
        <w:rPr>
          <w:rFonts w:ascii="PingFang SC" w:hAnsi="PingFang SC" w:eastAsia="PingFang SC" w:cs="PingFang SC"/>
          <w:color w:val="1F2937"/>
          <w:sz w:val="22"/>
        </w:rPr>
        <w:t>按时段计算：一个工作日可以同时包含正常出勤、请假、外出和加班，不能用单一状态覆盖整天。</w:t>
      </w:r>
    </w:p>
    <w:p>
      <w:pPr>
        <w:pStyle w:val="ListBullet"/>
        <w:spacing w:after="80" w:line="280" w:lineRule="auto"/>
      </w:pPr>
      <w:r>
        <w:rPr>
          <w:rFonts w:ascii="PingFang SC" w:hAnsi="PingFang SC" w:eastAsia="PingFang SC" w:cs="PingFang SC"/>
          <w:color w:val="1F2937"/>
          <w:sz w:val="22"/>
        </w:rPr>
        <w:t>余额由流水汇总：期初、发放、使用、返还、调整、失效都形成台账，不允许直接修改余额字段。</w:t>
      </w:r>
    </w:p>
    <w:p>
      <w:pPr>
        <w:pStyle w:val="ListBullet"/>
        <w:spacing w:after="80" w:line="280" w:lineRule="auto"/>
      </w:pPr>
      <w:r>
        <w:rPr>
          <w:rFonts w:ascii="PingFang SC" w:hAnsi="PingFang SC" w:eastAsia="PingFang SC" w:cs="PingFang SC"/>
          <w:color w:val="1F2937"/>
          <w:sz w:val="22"/>
        </w:rPr>
        <w:t>先考勤、后薪资：薪资只消费已关闭的考勤月结快照；本期不让薪资复杂度反向阻塞考勤上线。</w:t>
      </w:r>
    </w:p>
    <w:p>
      <w:pPr>
        <w:pStyle w:val="Heading2"/>
        <w:keepNext/>
      </w:pPr>
      <w:r>
        <w:rPr>
          <w:rFonts w:ascii="PingFang SC" w:hAnsi="PingFang SC" w:eastAsia="PingFang SC" w:cs="PingFang SC"/>
        </w:rPr>
        <w:t>1.4 竞品共性与本项目取舍</w:t>
      </w:r>
    </w:p>
    <w:tbl>
      <w:tblPr>
        <w:tblStyle w:val="TableGrid"/>
        <w:tblW w:type="dxa" w:w="9360"/>
        <w:jc w:val="left"/>
        <w:tblLayout w:type="fixed"/>
        <w:tblLook w:firstColumn="1" w:firstRow="1" w:lastColumn="0" w:lastRow="0" w:noHBand="0" w:noVBand="1" w:val="04A0"/>
        <w:tblInd w:type="dxa" w:w="120"/>
      </w:tblPr>
      <w:tblGrid>
        <w:gridCol w:w="1224"/>
        <w:gridCol w:w="3384"/>
        <w:gridCol w:w="2664"/>
        <w:gridCol w:w="2088"/>
      </w:tblGrid>
      <w:tr>
        <w:trPr>
          <w:tblHeader w:val="true"/>
          <w:cantSplit w:val="true"/>
        </w:trPr>
        <w:tc>
          <w:tcPr>
            <w:tcW w:type="dxa" w:w="122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参考产品</w:t>
            </w:r>
          </w:p>
        </w:tc>
        <w:tc>
          <w:tcPr>
            <w:tcW w:type="dxa" w:w="338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公开产品逻辑</w:t>
            </w:r>
          </w:p>
        </w:tc>
        <w:tc>
          <w:tcPr>
            <w:tcW w:type="dxa" w:w="266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本项目吸收</w:t>
            </w:r>
          </w:p>
        </w:tc>
        <w:tc>
          <w:tcPr>
            <w:tcW w:type="dxa" w:w="208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本期不复制</w:t>
            </w:r>
          </w:p>
        </w:tc>
      </w:tr>
      <w:tr>
        <w:trPr>
          <w:trHeight w:hRule="atLeast"/>
          <w:cantSplit w:val="true"/>
        </w:trPr>
        <w:tc>
          <w:tcPr>
            <w:tcW w:type="dxa" w:w="12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北森</w:t>
            </w:r>
          </w:p>
        </w:tc>
        <w:tc>
          <w:tcPr>
            <w:tcW w:type="dxa" w:w="33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组织批量导入与系统内调整；灵活排班、假期自动化、申请单和异常处理</w:t>
            </w:r>
          </w:p>
        </w:tc>
        <w:tc>
          <w:tcPr>
            <w:tcW w:type="dxa" w:w="266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组织期初导入、班组规则、原始事实与结果分层</w:t>
            </w:r>
          </w:p>
        </w:tc>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大型集团多维组织、智能劳动力预测</w:t>
            </w:r>
          </w:p>
        </w:tc>
      </w:tr>
      <w:tr>
        <w:trPr>
          <w:trHeight w:hRule="atLeast"/>
          <w:cantSplit w:val="true"/>
        </w:trPr>
        <w:tc>
          <w:tcPr>
            <w:tcW w:type="dxa" w:w="12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i人事</w:t>
            </w:r>
          </w:p>
        </w:tc>
        <w:tc>
          <w:tcPr>
            <w:tcW w:type="dxa" w:w="33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员工/组织导入，多考勤方案和复杂排班，员工自助查看排班/考勤/假期，考勤可连接薪资</w:t>
            </w:r>
          </w:p>
        </w:tc>
        <w:tc>
          <w:tcPr>
            <w:tcW w:type="dxa" w:w="266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员工唯一编号、考勤组、异常闭环、月结快照</w:t>
            </w:r>
          </w:p>
        </w:tc>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无限排班组合、全模块一体化前台</w:t>
            </w:r>
          </w:p>
        </w:tc>
      </w:tr>
      <w:tr>
        <w:trPr>
          <w:trHeight w:hRule="atLeast"/>
          <w:cantSplit w:val="true"/>
        </w:trPr>
        <w:tc>
          <w:tcPr>
            <w:tcW w:type="dxa" w:w="12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薪事力</w:t>
            </w:r>
          </w:p>
        </w:tc>
        <w:tc>
          <w:tcPr>
            <w:tcW w:type="dxa" w:w="33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多考勤组、多班次，月度考勤汇总供薪酬调用，组织同步属于可选集成</w:t>
            </w:r>
          </w:p>
        </w:tc>
        <w:tc>
          <w:tcPr>
            <w:tcW w:type="dxa" w:w="266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组织与业务单据接入解耦；薪资只读考勤月结</w:t>
            </w:r>
          </w:p>
        </w:tc>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持续组织同步、完整薪税申报与工资条</w:t>
            </w:r>
          </w:p>
        </w:tc>
      </w:tr>
    </w:tbl>
    <w:p>
      <w:pPr>
        <w:spacing w:after="40"/>
      </w:pPr>
    </w:p>
    <w:p>
      <w:pPr>
        <w:spacing w:before="100" w:after="160" w:line="264" w:lineRule="auto"/>
        <w:shd w:fill="EAF6EF"/>
        <w:pBdr>
          <w:left w:val="single" w:sz="18" w:space="8" w:color="277A53"/>
        </w:pBdr>
        <w:ind w:left="160" w:right="160"/>
        <w:keepLines/>
      </w:pPr>
      <w:r>
        <w:rPr>
          <w:rFonts w:ascii="PingFang SC" w:hAnsi="PingFang SC" w:eastAsia="PingFang SC" w:cs="PingFang SC"/>
          <w:b/>
          <w:color w:val="277A53"/>
          <w:sz w:val="21"/>
        </w:rPr>
        <w:t xml:space="preserve">产品判断  </w:t>
      </w:r>
      <w:r>
        <w:rPr>
          <w:rFonts w:ascii="PingFang SC" w:hAnsi="PingFang SC" w:eastAsia="PingFang SC" w:cs="PingFang SC"/>
          <w:color w:val="1F2937"/>
          <w:sz w:val="21"/>
        </w:rPr>
        <w:t>本次不是再造全功能 HCM。应借鉴成熟平台的“分层、分组、流水、闭环”，但只实现客户当前有明确制度和数据来源的部分。</w:t>
      </w:r>
    </w:p>
    <w:p>
      <w:pPr>
        <w:pStyle w:val="Heading1"/>
        <w:keepNext/>
      </w:pPr>
      <w:r>
        <w:rPr>
          <w:rFonts w:ascii="PingFang SC" w:hAnsi="PingFang SC" w:eastAsia="PingFang SC" w:cs="PingFang SC"/>
        </w:rPr>
        <w:t>2. 产品范围、角色与权限</w:t>
      </w:r>
    </w:p>
    <w:p>
      <w:pPr>
        <w:pStyle w:val="Heading2"/>
        <w:keepNext/>
      </w:pPr>
      <w:r>
        <w:rPr>
          <w:rFonts w:ascii="PingFang SC" w:hAnsi="PingFang SC" w:eastAsia="PingFang SC" w:cs="PingFang SC"/>
        </w:rPr>
        <w:t>2.1 P0：本次上线可见能力</w:t>
      </w:r>
    </w:p>
    <w:tbl>
      <w:tblPr>
        <w:tblStyle w:val="TableGrid"/>
        <w:tblW w:type="dxa" w:w="9360"/>
        <w:jc w:val="left"/>
        <w:tblLayout w:type="fixed"/>
        <w:tblLook w:firstColumn="1" w:firstRow="1" w:lastColumn="0" w:lastRow="0" w:noHBand="0" w:noVBand="1" w:val="04A0"/>
        <w:tblInd w:type="dxa" w:w="120"/>
      </w:tblPr>
      <w:tblGrid>
        <w:gridCol w:w="1080"/>
        <w:gridCol w:w="1944"/>
        <w:gridCol w:w="6336"/>
      </w:tblGrid>
      <w:tr>
        <w:trPr>
          <w:tblHeader w:val="true"/>
          <w:cantSplit w:val="true"/>
        </w:trPr>
        <w:tc>
          <w:tcPr>
            <w:tcW w:type="dxa" w:w="108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编号</w:t>
            </w:r>
          </w:p>
        </w:tc>
        <w:tc>
          <w:tcPr>
            <w:tcW w:type="dxa" w:w="194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模块</w:t>
            </w:r>
          </w:p>
        </w:tc>
        <w:tc>
          <w:tcPr>
            <w:tcW w:type="dxa" w:w="633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P0 范围</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FR-01</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基础人事</w:t>
            </w:r>
          </w:p>
        </w:tc>
        <w:tc>
          <w:tcPr>
            <w:tcW w:type="dxa" w:w="63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组织、岗位、员工、任职状态、员工编号、负责人和本地数据范围维护</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FR-02</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期初导入</w:t>
            </w:r>
          </w:p>
        </w:tc>
        <w:tc>
          <w:tcPr>
            <w:tcW w:type="dxa" w:w="63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致远组织/员工 Excel 一次性导入；员工年假、调休等期初工时 Excel 导入</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FR-03</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考勤班组</w:t>
            </w:r>
          </w:p>
        </w:tc>
        <w:tc>
          <w:tcPr>
            <w:tcW w:type="dxa" w:w="63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班组、班次、工作日历、地点、迟到、跨日、餐扣、特殊工时和生效期</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FR-04</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外部数据</w:t>
            </w:r>
          </w:p>
        </w:tc>
        <w:tc>
          <w:tcPr>
            <w:tcW w:type="dxa" w:w="63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得力云打卡 API；致远 OA 考勤业务单据只读接入；同步监控与错误重试</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FR-05</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考勤核算</w:t>
            </w:r>
          </w:p>
        </w:tc>
        <w:tc>
          <w:tcPr>
            <w:tcW w:type="dxa" w:w="63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正常、迟到、早退、缺卡、旷工、请假、外出、出差、补签、调休和加班</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FR-06</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异常与调整</w:t>
            </w:r>
          </w:p>
        </w:tc>
        <w:tc>
          <w:tcPr>
            <w:tcW w:type="dxa" w:w="63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异常工作台、员工反馈、HR 人工裁定、重算、月结、反月结和差异</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FR-07</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假期台账</w:t>
            </w:r>
          </w:p>
        </w:tc>
        <w:tc>
          <w:tcPr>
            <w:tcW w:type="dxa" w:w="63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年假、病假、事假、丧假、护理假、调休余额、销假返还和期初流水</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FR-08</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页面与报表</w:t>
            </w:r>
          </w:p>
        </w:tc>
        <w:tc>
          <w:tcPr>
            <w:tcW w:type="dxa" w:w="63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管理后台、响应式员工端、公司/部门/个人看板、日报/月报、签到排行、制度</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FR-09</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账号、权限与审计</w:t>
            </w:r>
          </w:p>
        </w:tc>
        <w:tc>
          <w:tcPr>
            <w:tcW w:type="dxa" w:w="63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本系统独立账号密码登录；功能角色、组织/班组范围、位置查看、导出字段和操作日志</w:t>
            </w:r>
          </w:p>
        </w:tc>
      </w:tr>
    </w:tbl>
    <w:p>
      <w:pPr>
        <w:spacing w:after="40"/>
      </w:pPr>
    </w:p>
    <w:p>
      <w:pPr>
        <w:pStyle w:val="Heading2"/>
        <w:keepNext/>
      </w:pPr>
      <w:r>
        <w:rPr>
          <w:rFonts w:ascii="PingFang SC" w:hAnsi="PingFang SC" w:eastAsia="PingFang SC" w:cs="PingFang SC"/>
        </w:rPr>
        <w:t>2.2 P0-B：薪资后端预留</w:t>
      </w:r>
    </w:p>
    <w:p>
      <w:pPr>
        <w:spacing w:after="120"/>
      </w:pPr>
      <w:r>
        <w:rPr>
          <w:rFonts w:ascii="PingFang SC" w:hAnsi="PingFang SC" w:eastAsia="PingFang SC" w:cs="PingFang SC"/>
          <w:i w:val="0"/>
          <w:color w:val="1F2937"/>
          <w:sz w:val="22"/>
        </w:rPr>
        <w:t>P0-B 与 P0 同期开发，但不面向员工、经理或普通 HR 展示，也不作为本次业务上线成功的前台验收项。</w:t>
      </w:r>
    </w:p>
    <w:p>
      <w:pPr>
        <w:pStyle w:val="ListBullet"/>
        <w:spacing w:after="80" w:line="280" w:lineRule="auto"/>
      </w:pPr>
      <w:r>
        <w:rPr>
          <w:rFonts w:ascii="PingFang SC" w:hAnsi="PingFang SC" w:eastAsia="PingFang SC" w:cs="PingFang SC"/>
          <w:color w:val="1F2937"/>
          <w:sz w:val="22"/>
        </w:rPr>
        <w:t>保留薪资期间、薪资项目、员工薪资档案、考勤变量映射、核算批次、结果快照和审计对象。</w:t>
      </w:r>
    </w:p>
    <w:p>
      <w:pPr>
        <w:pStyle w:val="ListBullet"/>
        <w:spacing w:after="80" w:line="280" w:lineRule="auto"/>
      </w:pPr>
      <w:r>
        <w:rPr>
          <w:rFonts w:ascii="PingFang SC" w:hAnsi="PingFang SC" w:eastAsia="PingFang SC" w:cs="PingFang SC"/>
          <w:color w:val="1F2937"/>
          <w:sz w:val="22"/>
        </w:rPr>
        <w:t>保留按生效期选择工资项目规则、读取已月结考勤快照和生成计算轨迹的后端边界。</w:t>
      </w:r>
    </w:p>
    <w:p>
      <w:pPr>
        <w:pStyle w:val="ListBullet"/>
        <w:spacing w:after="80" w:line="280" w:lineRule="auto"/>
      </w:pPr>
      <w:r>
        <w:rPr>
          <w:rFonts w:ascii="PingFang SC" w:hAnsi="PingFang SC" w:eastAsia="PingFang SC" w:cs="PingFang SC"/>
          <w:color w:val="1F2937"/>
          <w:sz w:val="22"/>
        </w:rPr>
        <w:t>默认 feature flag 为关闭；前端构建不注册薪资菜单、路由、卡片、搜索入口、通知或导出字段。</w:t>
      </w:r>
    </w:p>
    <w:p>
      <w:pPr>
        <w:pStyle w:val="ListBullet"/>
        <w:spacing w:after="80" w:line="280" w:lineRule="auto"/>
      </w:pPr>
      <w:r>
        <w:rPr>
          <w:rFonts w:ascii="PingFang SC" w:hAnsi="PingFang SC" w:eastAsia="PingFang SC" w:cs="PingFang SC"/>
          <w:color w:val="1F2937"/>
          <w:sz w:val="22"/>
        </w:rPr>
        <w:t>模块关闭时，普通会话调用薪资 API 统一拒绝；通用员工/组织接口不得返回工资字段。</w:t>
      </w:r>
    </w:p>
    <w:p>
      <w:pPr>
        <w:pStyle w:val="ListBullet"/>
        <w:spacing w:after="80" w:line="280" w:lineRule="auto"/>
      </w:pPr>
      <w:r>
        <w:rPr>
          <w:rFonts w:ascii="PingFang SC" w:hAnsi="PingFang SC" w:eastAsia="PingFang SC" w:cs="PingFang SC"/>
          <w:color w:val="1F2937"/>
          <w:sz w:val="22"/>
        </w:rPr>
        <w:t>本期不预置未经客户确认的税、社保、公积金参数，不生成正式工资条，不连接银行或申报平台。</w:t>
      </w:r>
    </w:p>
    <w:p>
      <w:pPr>
        <w:pStyle w:val="Heading2"/>
        <w:keepNext/>
      </w:pPr>
      <w:r>
        <w:rPr>
          <w:rFonts w:ascii="PingFang SC" w:hAnsi="PingFang SC" w:eastAsia="PingFang SC" w:cs="PingFang SC"/>
        </w:rPr>
        <w:t>2.3 明确不在本次范围</w:t>
      </w:r>
    </w:p>
    <w:tbl>
      <w:tblPr>
        <w:tblStyle w:val="TableGrid"/>
        <w:tblW w:type="dxa" w:w="9360"/>
        <w:jc w:val="left"/>
        <w:tblLayout w:type="fixed"/>
        <w:tblLook w:firstColumn="1" w:firstRow="1" w:lastColumn="0" w:lastRow="0" w:noHBand="0" w:noVBand="1" w:val="04A0"/>
        <w:tblInd w:type="dxa" w:w="120"/>
      </w:tblPr>
      <w:tblGrid>
        <w:gridCol w:w="2952"/>
        <w:gridCol w:w="2376"/>
        <w:gridCol w:w="4032"/>
      </w:tblGrid>
      <w:tr>
        <w:trPr>
          <w:tblHeader w:val="true"/>
          <w:cantSplit w:val="true"/>
        </w:trPr>
        <w:tc>
          <w:tcPr>
            <w:tcW w:type="dxa" w:w="295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范围</w:t>
            </w:r>
          </w:p>
        </w:tc>
        <w:tc>
          <w:tcPr>
            <w:tcW w:type="dxa" w:w="237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处理方式</w:t>
            </w:r>
          </w:p>
        </w:tc>
        <w:tc>
          <w:tcPr>
            <w:tcW w:type="dxa" w:w="403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原因</w:t>
            </w:r>
          </w:p>
        </w:tc>
      </w:tr>
      <w:tr>
        <w:trPr>
          <w:trHeight w:hRule="atLeast"/>
          <w:cantSplit w:val="true"/>
        </w:trPr>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持续/双向组织同步</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P1 以后按独立项目评估</w:t>
            </w:r>
          </w:p>
        </w:tc>
        <w:tc>
          <w:tcPr>
            <w:tcW w:type="dxa" w:w="40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本轮明确只做期初导入；避免双主数据冲突</w:t>
            </w:r>
          </w:p>
        </w:tc>
      </w:tr>
      <w:tr>
        <w:trPr>
          <w:trHeight w:hRule="atLeast"/>
          <w:cantSplit w:val="true"/>
        </w:trPr>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OA/得力写回</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排除</w:t>
            </w:r>
          </w:p>
        </w:tc>
        <w:tc>
          <w:tcPr>
            <w:tcW w:type="dxa" w:w="40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本系统只读接入外部事实，不改变上游</w:t>
            </w:r>
          </w:p>
        </w:tc>
      </w:tr>
      <w:tr>
        <w:trPr>
          <w:trHeight w:hRule="atLeast"/>
          <w:cantSplit w:val="true"/>
        </w:trPr>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夜班轮班、自由工时、智能排班</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P1/P2</w:t>
            </w:r>
          </w:p>
        </w:tc>
        <w:tc>
          <w:tcPr>
            <w:tcW w:type="dxa" w:w="40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当前已知场景可由固定班组和跨日加班覆盖</w:t>
            </w:r>
          </w:p>
        </w:tc>
      </w:tr>
      <w:tr>
        <w:trPr>
          <w:trHeight w:hRule="atLeast"/>
          <w:cantSplit w:val="true"/>
        </w:trPr>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个人长期例外规则</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排除</w:t>
            </w:r>
          </w:p>
        </w:tc>
        <w:tc>
          <w:tcPr>
            <w:tcW w:type="dxa" w:w="40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统一建立专用班组并配置有效期</w:t>
            </w:r>
          </w:p>
        </w:tc>
      </w:tr>
      <w:tr>
        <w:trPr>
          <w:trHeight w:hRule="atLeast"/>
          <w:cantSplit w:val="true"/>
        </w:trPr>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招聘、绩效、培训</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排除</w:t>
            </w:r>
          </w:p>
        </w:tc>
        <w:tc>
          <w:tcPr>
            <w:tcW w:type="dxa" w:w="40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与当前考勤闭环无直接依赖</w:t>
            </w:r>
          </w:p>
        </w:tc>
      </w:tr>
      <w:tr>
        <w:trPr>
          <w:trHeight w:hRule="atLeast"/>
          <w:cantSplit w:val="true"/>
        </w:trPr>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工资条、薪税申报、银行发薪、预算</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P1/P2</w:t>
            </w:r>
          </w:p>
        </w:tc>
        <w:tc>
          <w:tcPr>
            <w:tcW w:type="dxa" w:w="40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本期薪资只做后端预留</w:t>
            </w:r>
          </w:p>
        </w:tc>
      </w:tr>
      <w:tr>
        <w:trPr>
          <w:trHeight w:hRule="atLeast"/>
          <w:cantSplit w:val="true"/>
        </w:trPr>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实时定位、轨迹跟踪、人脸/指纹模板</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排除</w:t>
            </w:r>
          </w:p>
        </w:tc>
        <w:tc>
          <w:tcPr>
            <w:tcW w:type="dxa" w:w="40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仅核验单次打卡位置，不采集生物模板</w:t>
            </w:r>
          </w:p>
        </w:tc>
      </w:tr>
    </w:tbl>
    <w:p>
      <w:pPr>
        <w:spacing w:after="40"/>
      </w:pPr>
    </w:p>
    <w:p>
      <w:pPr>
        <w:pStyle w:val="Heading2"/>
        <w:keepNext/>
      </w:pPr>
      <w:r>
        <w:rPr>
          <w:rFonts w:ascii="PingFang SC" w:hAnsi="PingFang SC" w:eastAsia="PingFang SC" w:cs="PingFang SC"/>
        </w:rPr>
        <w:t>2.4 用户角色与数据范围</w:t>
      </w:r>
    </w:p>
    <w:tbl>
      <w:tblPr>
        <w:tblStyle w:val="TableGrid"/>
        <w:tblW w:type="dxa" w:w="9360"/>
        <w:jc w:val="left"/>
        <w:tblLayout w:type="fixed"/>
        <w:tblLook w:firstColumn="1" w:firstRow="1" w:lastColumn="0" w:lastRow="0" w:noHBand="0" w:noVBand="1" w:val="04A0"/>
        <w:tblInd w:type="dxa" w:w="120"/>
      </w:tblPr>
      <w:tblGrid>
        <w:gridCol w:w="1728"/>
        <w:gridCol w:w="3096"/>
        <w:gridCol w:w="2376"/>
        <w:gridCol w:w="2160"/>
      </w:tblGrid>
      <w:tr>
        <w:trPr>
          <w:tblHeader w:val="true"/>
          <w:cantSplit w:val="true"/>
        </w:trPr>
        <w:tc>
          <w:tcPr>
            <w:tcW w:type="dxa" w:w="172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角色</w:t>
            </w:r>
          </w:p>
        </w:tc>
        <w:tc>
          <w:tcPr>
            <w:tcW w:type="dxa" w:w="309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主要任务</w:t>
            </w:r>
          </w:p>
        </w:tc>
        <w:tc>
          <w:tcPr>
            <w:tcW w:type="dxa" w:w="237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默认数据范围</w:t>
            </w:r>
          </w:p>
        </w:tc>
        <w:tc>
          <w:tcPr>
            <w:tcW w:type="dxa" w:w="216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禁止事项</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系统管理员</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账号、角色、字典、接口和运行参数</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技术配置和任务状态</w:t>
            </w:r>
          </w:p>
        </w:tc>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默认不可查看精确位置和薪资明文</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HR/考勤管理员</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组织人员、班组、异常、调整、月结、报表</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全公司考勤业务数据</w:t>
            </w:r>
          </w:p>
        </w:tc>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不得直接改原始打卡或已关闭版本</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部门负责人</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查看部门统计和授权明细、督促异常</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本人负责部门及下级范围</w:t>
            </w:r>
          </w:p>
        </w:tc>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不得查看其他部门或薪资</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班组长</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查看组员出勤和剩余年假/调休</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明确分配的班组</w:t>
            </w:r>
          </w:p>
        </w:tc>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不得修改假期余额或查看敏感假因</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员工</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查看本人日/周/月考勤、余额、制度、反馈和签到排行</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本人明细 + 单独发布的排行字段</w:t>
            </w:r>
          </w:p>
        </w:tc>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不得访问他人原始打卡、位置或假因</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薪资服务账号</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执行 P0-B 内部计算和自动测试</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独立最小技术范围</w:t>
            </w:r>
          </w:p>
        </w:tc>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不属于前台登录角色；普通账号不可继承</w:t>
            </w:r>
          </w:p>
        </w:tc>
      </w:tr>
    </w:tbl>
    <w:p>
      <w:pPr>
        <w:spacing w:after="40"/>
      </w:pPr>
    </w:p>
    <w:p>
      <w:pPr>
        <w:spacing w:before="100" w:after="160" w:line="264" w:lineRule="auto"/>
        <w:shd w:fill="FDECEC"/>
        <w:pBdr>
          <w:left w:val="single" w:sz="18" w:space="8" w:color="9B1C1C"/>
        </w:pBdr>
        <w:ind w:left="160" w:right="160"/>
        <w:keepLines/>
      </w:pPr>
      <w:r>
        <w:rPr>
          <w:rFonts w:ascii="PingFang SC" w:hAnsi="PingFang SC" w:eastAsia="PingFang SC" w:cs="PingFang SC"/>
          <w:b/>
          <w:color w:val="9B1C1C"/>
          <w:sz w:val="21"/>
        </w:rPr>
        <w:t xml:space="preserve">权限原则  </w:t>
      </w:r>
      <w:r>
        <w:rPr>
          <w:rFonts w:ascii="PingFang SC" w:hAnsi="PingFang SC" w:eastAsia="PingFang SC" w:cs="PingFang SC"/>
          <w:color w:val="1F2937"/>
          <w:sz w:val="21"/>
        </w:rPr>
        <w:t>前端隐藏不是授权。服务端必须按“角色 × 本地组织/班组范围 × 字段 × 记录状态”鉴权；员工本人对象从登录会话推导，不能信任客户端传入的员工编号。</w:t>
      </w:r>
    </w:p>
    <w:p>
      <w:pPr>
        <w:pStyle w:val="Heading2"/>
        <w:keepNext/>
      </w:pPr>
      <w:r>
        <w:rPr>
          <w:rFonts w:ascii="PingFang SC" w:hAnsi="PingFang SC" w:eastAsia="PingFang SC" w:cs="PingFang SC"/>
        </w:rPr>
        <w:t>2.5 独立账号与密码登录</w:t>
      </w:r>
    </w:p>
    <w:p>
      <w:pPr>
        <w:spacing w:before="100" w:after="160" w:line="264" w:lineRule="auto"/>
        <w:shd w:fill="EAF6EF"/>
        <w:pBdr>
          <w:left w:val="single" w:sz="18" w:space="8" w:color="277A53"/>
        </w:pBdr>
        <w:ind w:left="160" w:right="160"/>
        <w:keepLines/>
      </w:pPr>
      <w:r>
        <w:rPr>
          <w:rFonts w:ascii="PingFang SC" w:hAnsi="PingFang SC" w:eastAsia="PingFang SC" w:cs="PingFang SC"/>
          <w:b/>
          <w:color w:val="277A53"/>
          <w:sz w:val="21"/>
        </w:rPr>
        <w:t xml:space="preserve">已确认登录方式  </w:t>
      </w:r>
      <w:r>
        <w:rPr>
          <w:rFonts w:ascii="PingFang SC" w:hAnsi="PingFang SC" w:eastAsia="PingFang SC" w:cs="PingFang SC"/>
          <w:color w:val="1F2937"/>
          <w:sz w:val="21"/>
        </w:rPr>
        <w:t>管理端和员工端均使用神州 HR 自有账号、密码登录，不依赖致远 OA 的账号、密码、单点登录或在线状态。致远组织 Excel 只提供期初人员资料，不导入或校验 OA 密码。</w:t>
      </w:r>
    </w:p>
    <w:tbl>
      <w:tblPr>
        <w:tblStyle w:val="TableGrid"/>
        <w:tblW w:type="dxa" w:w="9360"/>
        <w:jc w:val="left"/>
        <w:tblLayout w:type="fixed"/>
        <w:tblLook w:firstColumn="1" w:firstRow="1" w:lastColumn="0" w:lastRow="0" w:noHBand="0" w:noVBand="1" w:val="04A0"/>
        <w:tblInd w:type="dxa" w:w="120"/>
      </w:tblPr>
      <w:tblGrid>
        <w:gridCol w:w="1944"/>
        <w:gridCol w:w="4392"/>
        <w:gridCol w:w="3024"/>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配置/流程</w:t>
            </w:r>
          </w:p>
        </w:tc>
        <w:tc>
          <w:tcPr>
            <w:tcW w:type="dxa" w:w="439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默认口径</w:t>
            </w:r>
          </w:p>
        </w:tc>
        <w:tc>
          <w:tcPr>
            <w:tcW w:type="dxa" w:w="302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约束</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账号创建</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组织/员工发布后由管理员批量或单个创建；默认用户名为员工编号，可修改</w:t>
            </w:r>
          </w:p>
        </w:tc>
        <w:tc>
          <w:tcPr>
            <w:tcW w:type="dxa" w:w="30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用户名租户内唯一；一个在职员工只绑定一个主登录账号</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初始密码</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系统生成或管理员重置临时密码；首次登录强制修改</w:t>
            </w:r>
          </w:p>
        </w:tc>
        <w:tc>
          <w:tcPr>
            <w:tcW w:type="dxa" w:w="30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不得在 Excel、日志或页面回显明文密码</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密码策略</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最少 8 位，字母/数字/特殊字符至少两类；参数可配置</w:t>
            </w:r>
          </w:p>
        </w:tc>
        <w:tc>
          <w:tcPr>
            <w:tcW w:type="dxa" w:w="30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服务端仅保存带盐哈希，禁止可逆加密或明文保存</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失败锁定</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15 分钟内连续失败 5 次，锁定 15 分钟；次数和时长可配置</w:t>
            </w:r>
          </w:p>
        </w:tc>
        <w:tc>
          <w:tcPr>
            <w:tcW w:type="dxa" w:w="30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成功登录后清零；锁定与解锁均记安全日志</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会话策略</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空闲 30 分钟、最长 12 小时；可配置</w:t>
            </w:r>
          </w:p>
        </w:tc>
        <w:tc>
          <w:tcPr>
            <w:tcW w:type="dxa" w:w="30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停用、离职、改密或管理员强制退出后，旧会话应及时失效</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服务账号</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薪资服务账号仅用于 P0-B 内部调用</w:t>
            </w:r>
          </w:p>
        </w:tc>
        <w:tc>
          <w:tcPr>
            <w:tcW w:type="dxa" w:w="30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不允许交互式前台登录，不与员工账号共用</w:t>
            </w:r>
          </w:p>
        </w:tc>
      </w:tr>
    </w:tbl>
    <w:p>
      <w:pPr>
        <w:spacing w:after="40"/>
      </w:pPr>
    </w:p>
    <w:p>
      <w:pPr>
        <w:pStyle w:val="Heading1"/>
        <w:keepNext/>
      </w:pPr>
      <w:r>
        <w:rPr>
          <w:rFonts w:ascii="PingFang SC" w:hAnsi="PingFang SC" w:eastAsia="PingFang SC" w:cs="PingFang SC"/>
        </w:rPr>
        <w:t>3. 产品结构与业务闭环</w:t>
      </w:r>
    </w:p>
    <w:p>
      <w:pPr>
        <w:spacing w:before="80" w:after="80"/>
        <w:jc w:val="center"/>
      </w:pPr>
      <w:r>
        <w:rPr>
          <w:rFonts w:ascii="PingFang SC" w:hAnsi="PingFang SC" w:eastAsia="PingFang SC" w:cs="PingFang SC"/>
        </w:rPr>
        <w:drawing>
          <wp:inline xmlns:a="http://schemas.openxmlformats.org/drawingml/2006/main" xmlns:pic="http://schemas.openxmlformats.org/drawingml/2006/picture">
            <wp:extent cx="5715000" cy="3000375"/>
            <wp:docPr id="1" name="Picture 1" descr="致远组织 Excel 一次性导入，得力打卡和致远考勤业务单据进入本系统考勤账本；管理后台和员工端展示考勤，薪资后端预留但前台关闭。" title="图1  V1.9 产品边界与数据流"/>
            <wp:cNvGraphicFramePr>
              <a:graphicFrameLocks noChangeAspect="1"/>
            </wp:cNvGraphicFramePr>
            <a:graphic>
              <a:graphicData uri="http://schemas.openxmlformats.org/drawingml/2006/picture">
                <pic:pic>
                  <pic:nvPicPr>
                    <pic:cNvPr id="0" name="v19-scope-flow.png"/>
                    <pic:cNvPicPr/>
                  </pic:nvPicPr>
                  <pic:blipFill>
                    <a:blip r:embed="rId11"/>
                    <a:stretch>
                      <a:fillRect/>
                    </a:stretch>
                  </pic:blipFill>
                  <pic:spPr>
                    <a:xfrm>
                      <a:off x="0" y="0"/>
                      <a:ext cx="5715000" cy="3000375"/>
                    </a:xfrm>
                    <a:prstGeom prst="rect"/>
                  </pic:spPr>
                </pic:pic>
              </a:graphicData>
            </a:graphic>
          </wp:inline>
        </w:drawing>
      </w:r>
    </w:p>
    <w:p>
      <w:pPr>
        <w:spacing w:before="0" w:after="160"/>
        <w:jc w:val="center"/>
        <w:keepLines/>
      </w:pPr>
      <w:r>
        <w:rPr>
          <w:rFonts w:ascii="PingFang SC" w:hAnsi="PingFang SC" w:eastAsia="PingFang SC" w:cs="PingFang SC"/>
          <w:i/>
          <w:color w:val="667085"/>
          <w:sz w:val="18"/>
        </w:rPr>
        <w:t>图1  V1.9 产品边界与数据流</w:t>
      </w:r>
    </w:p>
    <w:p>
      <w:pPr>
        <w:pStyle w:val="Heading2"/>
        <w:keepNext/>
      </w:pPr>
      <w:r>
        <w:rPr>
          <w:rFonts w:ascii="PingFang SC" w:hAnsi="PingFang SC" w:eastAsia="PingFang SC" w:cs="PingFang SC"/>
        </w:rPr>
        <w:t>3.1 信息架构</w:t>
      </w:r>
    </w:p>
    <w:tbl>
      <w:tblPr>
        <w:tblStyle w:val="TableGrid"/>
        <w:tblW w:type="dxa" w:w="9360"/>
        <w:jc w:val="left"/>
        <w:tblLayout w:type="fixed"/>
        <w:tblLook w:firstColumn="1" w:firstRow="1" w:lastColumn="0" w:lastRow="0" w:noHBand="0" w:noVBand="1" w:val="04A0"/>
        <w:tblInd w:type="dxa" w:w="120"/>
      </w:tblPr>
      <w:tblGrid>
        <w:gridCol w:w="1800"/>
        <w:gridCol w:w="4968"/>
        <w:gridCol w:w="2592"/>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一级模块</w:t>
            </w:r>
          </w:p>
        </w:tc>
        <w:tc>
          <w:tcPr>
            <w:tcW w:type="dxa" w:w="496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二级功能</w:t>
            </w:r>
          </w:p>
        </w:tc>
        <w:tc>
          <w:tcPr>
            <w:tcW w:type="dxa" w:w="259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主要用户</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基础人事</w:t>
            </w:r>
          </w:p>
        </w:tc>
        <w:tc>
          <w:tcPr>
            <w:tcW w:type="dxa" w:w="49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组织树、岗位、员工花名册、任职变动、导入批次</w:t>
            </w:r>
          </w:p>
        </w:tc>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HR/系统管理员</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考勤设置</w:t>
            </w:r>
          </w:p>
        </w:tc>
        <w:tc>
          <w:tcPr>
            <w:tcW w:type="dxa" w:w="49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班组、季节班次、日历、地点、迟到/跨日/缺卡/餐扣规则、人员归组</w:t>
            </w:r>
          </w:p>
        </w:tc>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HR/考勤管理员</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数据中心</w:t>
            </w:r>
          </w:p>
        </w:tc>
        <w:tc>
          <w:tcPr>
            <w:tcW w:type="dxa" w:w="49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得力同步、OA 单据同步、字段映射、错误重试、数据新鲜度</w:t>
            </w:r>
          </w:p>
        </w:tc>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考勤管理员/系统管理员</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考勤工作台</w:t>
            </w:r>
          </w:p>
        </w:tc>
        <w:tc>
          <w:tcPr>
            <w:tcW w:type="dxa" w:w="49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日结果、异常队列、调整、重算、月结、反月结、差异</w:t>
            </w:r>
          </w:p>
        </w:tc>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考勤管理员/负责人</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假期与工时</w:t>
            </w:r>
          </w:p>
        </w:tc>
        <w:tc>
          <w:tcPr>
            <w:tcW w:type="dxa" w:w="49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假别/年假策略、余额、流水、自动发放、期初导入、销假返还、到期</w:t>
            </w:r>
          </w:p>
        </w:tc>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HR/员工/班组长</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统计与报表</w:t>
            </w:r>
          </w:p>
        </w:tc>
        <w:tc>
          <w:tcPr>
            <w:tcW w:type="dxa" w:w="49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个人、部门、公司统计；日报、周报、月报、导出</w:t>
            </w:r>
          </w:p>
        </w:tc>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按角色和范围</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员工自助</w:t>
            </w:r>
          </w:p>
        </w:tc>
        <w:tc>
          <w:tcPr>
            <w:tcW w:type="dxa" w:w="49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今日状态、考勤日历、工时、假期、签到排行、制度、反馈</w:t>
            </w:r>
          </w:p>
        </w:tc>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员工</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系统管理</w:t>
            </w:r>
          </w:p>
        </w:tc>
        <w:tc>
          <w:tcPr>
            <w:tcW w:type="dxa" w:w="49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本地账号、密码策略、角色、字典、审计、参数、功能开关</w:t>
            </w:r>
          </w:p>
        </w:tc>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系统管理员</w:t>
            </w:r>
          </w:p>
        </w:tc>
      </w:tr>
    </w:tbl>
    <w:p>
      <w:pPr>
        <w:spacing w:after="40"/>
      </w:pPr>
    </w:p>
    <w:p>
      <w:pPr>
        <w:pStyle w:val="Heading2"/>
        <w:keepNext/>
      </w:pPr>
      <w:r>
        <w:rPr>
          <w:rFonts w:ascii="PingFang SC" w:hAnsi="PingFang SC" w:eastAsia="PingFang SC" w:cs="PingFang SC"/>
        </w:rPr>
        <w:t>3.2 日常业务闭环</w:t>
      </w:r>
    </w:p>
    <w:p>
      <w:pPr>
        <w:pStyle w:val="ListNumber"/>
        <w:spacing w:after="80" w:line="280" w:lineRule="auto"/>
      </w:pPr>
      <w:r>
        <w:rPr>
          <w:rFonts w:ascii="PingFang SC" w:hAnsi="PingFang SC" w:eastAsia="PingFang SC" w:cs="PingFang SC"/>
          <w:color w:val="1F2937"/>
          <w:sz w:val="22"/>
        </w:rPr>
        <w:t>系统按生效日期确定员工当日唯一考勤班组，并解析班次、工作日历、打卡窗口、地点和规则。</w:t>
      </w:r>
    </w:p>
    <w:p>
      <w:pPr>
        <w:pStyle w:val="ListNumber"/>
        <w:spacing w:after="80" w:line="280" w:lineRule="auto"/>
      </w:pPr>
      <w:r>
        <w:rPr>
          <w:rFonts w:ascii="PingFang SC" w:hAnsi="PingFang SC" w:eastAsia="PingFang SC" w:cs="PingFang SC"/>
          <w:color w:val="1F2937"/>
          <w:sz w:val="22"/>
        </w:rPr>
        <w:t>得力同步保存原始打卡；致远只读同步已通过的请假、加班、出差、外出、补签、调休和销假等业务单据。</w:t>
      </w:r>
    </w:p>
    <w:p>
      <w:pPr>
        <w:pStyle w:val="ListNumber"/>
        <w:spacing w:after="80" w:line="280" w:lineRule="auto"/>
      </w:pPr>
      <w:r>
        <w:rPr>
          <w:rFonts w:ascii="PingFang SC" w:hAnsi="PingFang SC" w:eastAsia="PingFang SC" w:cs="PingFang SC"/>
          <w:color w:val="1F2937"/>
          <w:sz w:val="22"/>
        </w:rPr>
        <w:t>系统按时间段匹配证据并生成暂算日结果；迟到、早退、缺卡、证据冲突等进入异常队列。</w:t>
      </w:r>
    </w:p>
    <w:p>
      <w:pPr>
        <w:pStyle w:val="ListNumber"/>
        <w:spacing w:after="80" w:line="280" w:lineRule="auto"/>
      </w:pPr>
      <w:r>
        <w:rPr>
          <w:rFonts w:ascii="PingFang SC" w:hAnsi="PingFang SC" w:eastAsia="PingFang SC" w:cs="PingFang SC"/>
          <w:color w:val="1F2937"/>
          <w:sz w:val="22"/>
        </w:rPr>
        <w:t>员工在 OA 补单或通过反馈提示问题；审批通过后系统自动重算。HR 仅在无法由单据解决时做有原因的人工裁定。</w:t>
      </w:r>
    </w:p>
    <w:p>
      <w:pPr>
        <w:pStyle w:val="ListNumber"/>
        <w:spacing w:after="80" w:line="280" w:lineRule="auto"/>
      </w:pPr>
      <w:r>
        <w:rPr>
          <w:rFonts w:ascii="PingFang SC" w:hAnsi="PingFang SC" w:eastAsia="PingFang SC" w:cs="PingFang SC"/>
          <w:color w:val="1F2937"/>
          <w:sz w:val="22"/>
        </w:rPr>
        <w:t>月末全量重算并预检；未决异常为 0 后关闭，生成不可覆盖的月结快照。关闭后变化进入差异，需反月结生成新版本。</w:t>
      </w:r>
    </w:p>
    <w:p>
      <w:pPr>
        <w:pStyle w:val="ListNumber"/>
        <w:spacing w:after="80" w:line="280" w:lineRule="auto"/>
      </w:pPr>
      <w:r>
        <w:rPr>
          <w:rFonts w:ascii="PingFang SC" w:hAnsi="PingFang SC" w:eastAsia="PingFang SC" w:cs="PingFang SC"/>
          <w:color w:val="1F2937"/>
          <w:sz w:val="22"/>
        </w:rPr>
        <w:t>薪资后端如启用内部测试，只读取指定的已关闭月结快照，不重新解释打卡和单据。</w:t>
      </w:r>
    </w:p>
    <w:p>
      <w:pPr>
        <w:pStyle w:val="Heading2"/>
        <w:keepNext/>
      </w:pPr>
      <w:r>
        <w:rPr>
          <w:rFonts w:ascii="PingFang SC" w:hAnsi="PingFang SC" w:eastAsia="PingFang SC" w:cs="PingFang SC"/>
        </w:rPr>
        <w:t>3.3 典型用户场景</w:t>
      </w:r>
    </w:p>
    <w:tbl>
      <w:tblPr>
        <w:tblStyle w:val="TableGrid"/>
        <w:tblW w:type="dxa" w:w="9360"/>
        <w:jc w:val="left"/>
        <w:tblLayout w:type="fixed"/>
        <w:tblLook w:firstColumn="1" w:firstRow="1" w:lastColumn="0" w:lastRow="0" w:noHBand="0" w:noVBand="1" w:val="04A0"/>
        <w:tblInd w:type="dxa" w:w="120"/>
      </w:tblPr>
      <w:tblGrid>
        <w:gridCol w:w="2232"/>
        <w:gridCol w:w="7128"/>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场景</w:t>
            </w:r>
          </w:p>
        </w:tc>
        <w:tc>
          <w:tcPr>
            <w:tcW w:type="dxa" w:w="712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操作与系统反馈</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HR 首次上线</w:t>
            </w:r>
          </w:p>
        </w:tc>
        <w:tc>
          <w:tcPr>
            <w:tcW w:type="dxa" w:w="71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从致远导出组织/员工 Excel，上传后查看重复编码、孤儿节点、人员缺失等错误；修正后一次发布，系统生成本地组织树。</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异地员工调入班组</w:t>
            </w:r>
          </w:p>
        </w:tc>
        <w:tc>
          <w:tcPr>
            <w:tcW w:type="dxa" w:w="71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HR 将员工从总部组调到上海地点/总部班次组，设置下月 1 日生效；历史月份仍按原组计算。</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员工发现缺卡</w:t>
            </w:r>
          </w:p>
        </w:tc>
        <w:tc>
          <w:tcPr>
            <w:tcW w:type="dxa" w:w="71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当日看到“缺卡待处理”，按管理要求当天在 OA 提交补签；最迟可在 7 个自然日内提交，审批后系统重算。</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跨夜临时加班</w:t>
            </w:r>
          </w:p>
        </w:tc>
        <w:tc>
          <w:tcPr>
            <w:tcW w:type="dxa" w:w="71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员工次日凌晨打卡离场，系统将截止时间前的卡回挂前一考勤日；员工在加班策略期限内补交加班单（项目默认 48 小时），审批后计算认可加班。</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班组长查余额</w:t>
            </w:r>
          </w:p>
        </w:tc>
        <w:tc>
          <w:tcPr>
            <w:tcW w:type="dxa" w:w="71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组长仅看到本班组成员的年假/调休剩余小时和到期提示，不看到病假原因、位置或其他个人敏感字段。</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员工提前返岗</w:t>
            </w:r>
          </w:p>
        </w:tc>
        <w:tc>
          <w:tcPr>
            <w:tcW w:type="dxa" w:w="71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请假期间形成返岗打卡，系统标记疑似提前返岗；销假审批通过后重算出勤并以冲销流水退回未休余额。</w:t>
            </w:r>
          </w:p>
        </w:tc>
      </w:tr>
    </w:tbl>
    <w:p>
      <w:pPr>
        <w:spacing w:after="40"/>
      </w:pPr>
    </w:p>
    <w:p>
      <w:pPr>
        <w:pStyle w:val="Heading1"/>
        <w:keepNext/>
      </w:pPr>
      <w:r>
        <w:rPr>
          <w:rFonts w:ascii="PingFang SC" w:hAnsi="PingFang SC" w:eastAsia="PingFang SC" w:cs="PingFang SC"/>
        </w:rPr>
        <w:t>4. 基础人事、组织及期初导入</w:t>
      </w:r>
    </w:p>
    <w:p>
      <w:pPr>
        <w:pStyle w:val="Heading2"/>
        <w:keepNext/>
      </w:pPr>
      <w:r>
        <w:rPr>
          <w:rFonts w:ascii="PingFang SC" w:hAnsi="PingFang SC" w:eastAsia="PingFang SC" w:cs="PingFang SC"/>
        </w:rPr>
        <w:t>4.1 组织与员工权威来源</w:t>
      </w:r>
    </w:p>
    <w:p>
      <w:pPr>
        <w:spacing w:before="100" w:after="160" w:line="264" w:lineRule="auto"/>
        <w:shd w:fill="EAF6EF"/>
        <w:pBdr>
          <w:left w:val="single" w:sz="18" w:space="8" w:color="277A53"/>
        </w:pBdr>
        <w:ind w:left="160" w:right="160"/>
        <w:keepLines/>
      </w:pPr>
      <w:r>
        <w:rPr>
          <w:rFonts w:ascii="PingFang SC" w:hAnsi="PingFang SC" w:eastAsia="PingFang SC" w:cs="PingFang SC"/>
          <w:b/>
          <w:color w:val="277A53"/>
          <w:sz w:val="21"/>
        </w:rPr>
        <w:t xml:space="preserve">已确认决策  </w:t>
      </w:r>
      <w:r>
        <w:rPr>
          <w:rFonts w:ascii="PingFang SC" w:hAnsi="PingFang SC" w:eastAsia="PingFang SC" w:cs="PingFang SC"/>
          <w:color w:val="1F2937"/>
          <w:sz w:val="21"/>
        </w:rPr>
        <w:t>致远 OA 仅提供上线期组织/员工 Excel。导入发布后，本系统是组织、岗位、员工任职、负责人、考勤班组和本地数据权限的唯一权威来源；本期不存在定时、手动或双向组织同步按钮。</w:t>
      </w:r>
    </w:p>
    <w:p>
      <w:pPr>
        <w:spacing w:after="120"/>
      </w:pPr>
      <w:r>
        <w:rPr>
          <w:rFonts w:ascii="PingFang SC" w:hAnsi="PingFang SC" w:eastAsia="PingFang SC" w:cs="PingFang SC"/>
          <w:i w:val="0"/>
          <w:color w:val="1F2937"/>
          <w:sz w:val="22"/>
        </w:rPr>
        <w:t>致远 OA 仍可作为考勤业务单据来源，但业务单据接入不得回写、创建或更新本地组织。OA 单据中的部门字段仅作来源展示或核对，人员匹配以员工编号/已确认外部人员标识为准，正式考勤归属按本系统当日任职和班组确定。</w:t>
      </w:r>
    </w:p>
    <w:p>
      <w:pPr>
        <w:pStyle w:val="Heading2"/>
        <w:keepNext/>
      </w:pPr>
      <w:r>
        <w:rPr>
          <w:rFonts w:ascii="PingFang SC" w:hAnsi="PingFang SC" w:eastAsia="PingFang SC" w:cs="PingFang SC"/>
        </w:rPr>
        <w:t>4.2 组织/员工 Excel 期初导入（FR-01/FR-02）</w:t>
      </w:r>
    </w:p>
    <w:tbl>
      <w:tblPr>
        <w:tblStyle w:val="TableGrid"/>
        <w:tblW w:type="dxa" w:w="9360"/>
        <w:jc w:val="left"/>
        <w:tblLayout w:type="fixed"/>
        <w:tblLook w:firstColumn="1" w:firstRow="1" w:lastColumn="0" w:lastRow="0" w:noHBand="0" w:noVBand="1" w:val="04A0"/>
        <w:tblInd w:type="dxa" w:w="120"/>
      </w:tblPr>
      <w:tblGrid>
        <w:gridCol w:w="1440"/>
        <w:gridCol w:w="2088"/>
        <w:gridCol w:w="3816"/>
        <w:gridCol w:w="2016"/>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环节</w:t>
            </w:r>
          </w:p>
        </w:tc>
        <w:tc>
          <w:tcPr>
            <w:tcW w:type="dxa" w:w="208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输入</w:t>
            </w:r>
          </w:p>
        </w:tc>
        <w:tc>
          <w:tcPr>
            <w:tcW w:type="dxa" w:w="381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处理</w:t>
            </w:r>
          </w:p>
        </w:tc>
        <w:tc>
          <w:tcPr>
            <w:tcW w:type="dxa" w:w="201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输出/异常</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下载模板</w:t>
            </w:r>
          </w:p>
        </w:tc>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空模板或当前草稿模板</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固定 Sheet 与字段说明；示例数据不参与导入</w:t>
            </w:r>
          </w:p>
        </w:tc>
        <w:tc>
          <w:tcPr>
            <w:tcW w:type="dxa" w:w="20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生成组织、员工、岗位/任职模板</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上传</w:t>
            </w:r>
          </w:p>
        </w:tc>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.xlsx，单文件 &lt;=20 MB</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读取文件哈希、Sheet、行号、上传人和批次</w:t>
            </w:r>
          </w:p>
        </w:tc>
        <w:tc>
          <w:tcPr>
            <w:tcW w:type="dxa" w:w="20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文件格式错误时整批拒绝</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预校验</w:t>
            </w:r>
          </w:p>
        </w:tc>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组织和员工行</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校验必填、类型、唯一、父子关系、环路、负责人、任职和员工编号</w:t>
            </w:r>
          </w:p>
        </w:tc>
        <w:tc>
          <w:tcPr>
            <w:tcW w:type="dxa" w:w="20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页面展示错误数并可下载错误明细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预览</w:t>
            </w:r>
          </w:p>
        </w:tc>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全部校验通过的数据</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展示拟新增组织/岗位/员工和人员归属，不直接写正式数据</w:t>
            </w:r>
          </w:p>
        </w:tc>
        <w:tc>
          <w:tcPr>
            <w:tcW w:type="dxa" w:w="20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用户确认或取消</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发布</w:t>
            </w:r>
          </w:p>
        </w:tc>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已确认批次</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事务内一次写入本地正式数据和导入审计</w:t>
            </w:r>
          </w:p>
        </w:tc>
        <w:tc>
          <w:tcPr>
            <w:tcW w:type="dxa" w:w="20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全部成功才发布；禁止半批成功</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重传</w:t>
            </w:r>
          </w:p>
        </w:tc>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相同文件或同批次</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按文件哈希和批次幂等</w:t>
            </w:r>
          </w:p>
        </w:tc>
        <w:tc>
          <w:tcPr>
            <w:tcW w:type="dxa" w:w="20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不得重复创建组织或员工</w:t>
            </w:r>
          </w:p>
        </w:tc>
      </w:tr>
    </w:tbl>
    <w:p>
      <w:pPr>
        <w:spacing w:after="40"/>
      </w:pPr>
    </w:p>
    <w:p>
      <w:pPr>
        <w:spacing w:after="120"/>
      </w:pPr>
      <w:r>
        <w:rPr>
          <w:rFonts w:ascii="PingFang SC" w:hAnsi="PingFang SC" w:eastAsia="PingFang SC" w:cs="PingFang SC"/>
          <w:i w:val="0"/>
          <w:color w:val="1F2937"/>
          <w:sz w:val="22"/>
        </w:rPr>
        <w:t>初始工作簿建议包含三个 Sheet：组织、岗位（可选）和员工。客户只提供组织时，组织可先发布；员工随后通过员工模板导入或页面新增。来源 OA ID 可作为追溯字段保存，但不参与后续同步和授权。</w:t>
      </w:r>
    </w:p>
    <w:p>
      <w:pPr>
        <w:pStyle w:val="Heading2"/>
        <w:keepNext/>
      </w:pPr>
      <w:r>
        <w:rPr>
          <w:rFonts w:ascii="PingFang SC" w:hAnsi="PingFang SC" w:eastAsia="PingFang SC" w:cs="PingFang SC"/>
        </w:rPr>
        <w:t>4.3 本地组织与员工维护</w:t>
      </w:r>
    </w:p>
    <w:p>
      <w:pPr>
        <w:pStyle w:val="ListBullet"/>
        <w:spacing w:after="80" w:line="280" w:lineRule="auto"/>
      </w:pPr>
      <w:r>
        <w:rPr>
          <w:rFonts w:ascii="PingFang SC" w:hAnsi="PingFang SC" w:eastAsia="PingFang SC" w:cs="PingFang SC"/>
          <w:color w:val="1F2937"/>
          <w:sz w:val="22"/>
        </w:rPr>
        <w:t>组织支持新增、改名、调整上级、排序、负责人变更和停用；已有员工或历史考勤引用的组织不得物理删除。</w:t>
      </w:r>
    </w:p>
    <w:p>
      <w:pPr>
        <w:pStyle w:val="ListBullet"/>
        <w:spacing w:after="80" w:line="280" w:lineRule="auto"/>
      </w:pPr>
      <w:r>
        <w:rPr>
          <w:rFonts w:ascii="PingFang SC" w:hAnsi="PingFang SC" w:eastAsia="PingFang SC" w:cs="PingFang SC"/>
          <w:color w:val="1F2937"/>
          <w:sz w:val="22"/>
        </w:rPr>
        <w:t>岗位支持新增、改名、停用；员工可无岗位，但必须属于一个有效组织后才能参与正式考勤。</w:t>
      </w:r>
    </w:p>
    <w:p>
      <w:pPr>
        <w:pStyle w:val="ListBullet"/>
        <w:spacing w:after="80" w:line="280" w:lineRule="auto"/>
      </w:pPr>
      <w:r>
        <w:rPr>
          <w:rFonts w:ascii="PingFang SC" w:hAnsi="PingFang SC" w:eastAsia="PingFang SC" w:cs="PingFang SC"/>
          <w:color w:val="1F2937"/>
          <w:sz w:val="22"/>
        </w:rPr>
        <w:t>员工以本系统 employee_id 为内部主键，以员工编号为唯一业务编号；姓名只用于展示，不作为跨系统自动匹配键。</w:t>
      </w:r>
    </w:p>
    <w:p>
      <w:pPr>
        <w:pStyle w:val="ListBullet"/>
        <w:spacing w:after="80" w:line="280" w:lineRule="auto"/>
      </w:pPr>
      <w:r>
        <w:rPr>
          <w:rFonts w:ascii="PingFang SC" w:hAnsi="PingFang SC" w:eastAsia="PingFang SC" w:cs="PingFang SC"/>
          <w:color w:val="1F2937"/>
          <w:sz w:val="22"/>
        </w:rPr>
        <w:t>员工状态至少包含待入职、在职、停用/离职；每次入职和离职形成不可覆盖的任职周期，最新有效入职事件提供当前入职日期。二次入职不得改写旧周期；组织和班组变更都带生效日期。</w:t>
      </w:r>
    </w:p>
    <w:p>
      <w:pPr>
        <w:pStyle w:val="ListBullet"/>
        <w:spacing w:after="80" w:line="280" w:lineRule="auto"/>
      </w:pPr>
      <w:r>
        <w:rPr>
          <w:rFonts w:ascii="PingFang SC" w:hAnsi="PingFang SC" w:eastAsia="PingFang SC" w:cs="PingFang SC"/>
          <w:color w:val="1F2937"/>
          <w:sz w:val="22"/>
        </w:rPr>
        <w:t>员工档案保存由 HR 维护的既往累计工龄月数及来源备注；二次入职时，本公司资格和周年从新入职日重算，但累计工龄档位继续使用历史累计值与本次工龄之和。</w:t>
      </w:r>
    </w:p>
    <w:p>
      <w:pPr>
        <w:pStyle w:val="ListBullet"/>
        <w:spacing w:after="80" w:line="280" w:lineRule="auto"/>
      </w:pPr>
      <w:r>
        <w:rPr>
          <w:rFonts w:ascii="PingFang SC" w:hAnsi="PingFang SC" w:eastAsia="PingFang SC" w:cs="PingFang SC"/>
          <w:color w:val="1F2937"/>
          <w:sz w:val="22"/>
        </w:rPr>
        <w:t>组织/员工发布后可批量创建独立本地账号；默认用户名为员工编号，初始密码不写入导入文件，首次登录强制修改。</w:t>
      </w:r>
    </w:p>
    <w:p>
      <w:pPr>
        <w:pStyle w:val="ListBullet"/>
        <w:spacing w:after="80" w:line="280" w:lineRule="auto"/>
      </w:pPr>
      <w:r>
        <w:rPr>
          <w:rFonts w:ascii="PingFang SC" w:hAnsi="PingFang SC" w:eastAsia="PingFang SC" w:cs="PingFang SC"/>
          <w:color w:val="1F2937"/>
          <w:sz w:val="22"/>
        </w:rPr>
        <w:t>同一员工任一日期只能有一个主组织和一个有效考勤班组。冲突时不计算正式考勤并进入基础数据异常。</w:t>
      </w:r>
    </w:p>
    <w:p>
      <w:pPr>
        <w:pStyle w:val="ListBullet"/>
        <w:spacing w:after="80" w:line="280" w:lineRule="auto"/>
      </w:pPr>
      <w:r>
        <w:rPr>
          <w:rFonts w:ascii="PingFang SC" w:hAnsi="PingFang SC" w:eastAsia="PingFang SC" w:cs="PingFang SC"/>
          <w:color w:val="1F2937"/>
          <w:sz w:val="22"/>
        </w:rPr>
        <w:t>变更影响开放月份时自动重算；已月结月份不覆盖原结果，只产生差异或由授权人反月结。</w:t>
      </w:r>
    </w:p>
    <w:p>
      <w:pPr>
        <w:pStyle w:val="Heading2"/>
        <w:keepNext/>
      </w:pPr>
      <w:r>
        <w:rPr>
          <w:rFonts w:ascii="PingFang SC" w:hAnsi="PingFang SC" w:eastAsia="PingFang SC" w:cs="PingFang SC"/>
        </w:rPr>
        <w:t>4.4 导入和维护验收</w:t>
      </w:r>
    </w:p>
    <w:tbl>
      <w:tblPr>
        <w:tblStyle w:val="TableGrid"/>
        <w:tblW w:type="dxa" w:w="9360"/>
        <w:jc w:val="left"/>
        <w:tblLayout w:type="fixed"/>
        <w:tblLook w:firstColumn="1" w:firstRow="1" w:lastColumn="0" w:lastRow="0" w:noHBand="0" w:noVBand="1" w:val="04A0"/>
        <w:tblInd w:type="dxa" w:w="120"/>
      </w:tblPr>
      <w:tblGrid>
        <w:gridCol w:w="1656"/>
        <w:gridCol w:w="7704"/>
      </w:tblGrid>
      <w:tr>
        <w:trPr>
          <w:tblHeader w:val="true"/>
          <w:cantSplit w:val="true"/>
        </w:trPr>
        <w:tc>
          <w:tcPr>
            <w:tcW w:type="dxa" w:w="165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AC</w:t>
            </w:r>
          </w:p>
        </w:tc>
        <w:tc>
          <w:tcPr>
            <w:tcW w:type="dxa" w:w="770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验收条件</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AC-ORG-01</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同一组织编码重复、父组织不存在或形成层级环时，批次不得发布，并准确定位到 Sheet/行号。</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AC-ORG-02</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导入 1,000 个组织和 10,000 名员工时，正式发布要么全部成功，要么正式数据保持不变。</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AC-ORG-03</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相同文件重复上传不重复入账；页面显示原批次号和处理结果。</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AC-ORG-04</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导入发布后系统不存在组织自动/手动同步任务；修改致远组织不改变本地组织。</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AC-ORG-05</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组织改名或调整上级后，历史月结仍显示当时名称/路径，当前页面显示新结构。</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AC-ORG-06</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姓名相同但员工编号不同的两名员工不得自动合并；员工编号冲突必须人工处理。</w:t>
            </w:r>
          </w:p>
        </w:tc>
      </w:tr>
    </w:tbl>
    <w:p>
      <w:pPr>
        <w:spacing w:after="40"/>
      </w:pPr>
    </w:p>
    <w:p>
      <w:pPr>
        <w:pStyle w:val="Heading1"/>
        <w:keepNext/>
      </w:pPr>
      <w:r>
        <w:rPr>
          <w:rFonts w:ascii="PingFang SC" w:hAnsi="PingFang SC" w:eastAsia="PingFang SC" w:cs="PingFang SC"/>
        </w:rPr>
        <w:t>5. 考勤班组、班次与日历</w:t>
      </w:r>
    </w:p>
    <w:p>
      <w:pPr>
        <w:pStyle w:val="Heading2"/>
        <w:keepNext/>
      </w:pPr>
      <w:r>
        <w:rPr>
          <w:rFonts w:ascii="PingFang SC" w:hAnsi="PingFang SC" w:eastAsia="PingFang SC" w:cs="PingFang SC"/>
        </w:rPr>
        <w:t>5.1 班组模型</w:t>
      </w:r>
    </w:p>
    <w:p>
      <w:pPr>
        <w:spacing w:after="120"/>
      </w:pPr>
      <w:r>
        <w:rPr>
          <w:rFonts w:ascii="PingFang SC" w:hAnsi="PingFang SC" w:eastAsia="PingFang SC" w:cs="PingFang SC"/>
          <w:i w:val="0"/>
          <w:color w:val="1F2937"/>
          <w:sz w:val="22"/>
        </w:rPr>
        <w:t>本 PRD 将客户口语中的“班组”和通用 HR 产品中的“考勤组”统一称为“考勤班组”。班组不是组织部门，也不改变员工汇报关系；它只决定某一有效期内的班次、日历、地点和考勤规则。</w:t>
      </w:r>
    </w:p>
    <w:tbl>
      <w:tblPr>
        <w:tblStyle w:val="TableGrid"/>
        <w:tblW w:type="dxa" w:w="9360"/>
        <w:jc w:val="left"/>
        <w:tblLayout w:type="fixed"/>
        <w:tblLook w:firstColumn="1" w:firstRow="1" w:lastColumn="0" w:lastRow="0" w:noHBand="0" w:noVBand="1" w:val="04A0"/>
        <w:tblInd w:type="dxa" w:w="120"/>
      </w:tblPr>
      <w:tblGrid>
        <w:gridCol w:w="1800"/>
        <w:gridCol w:w="4608"/>
        <w:gridCol w:w="2952"/>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配置对象</w:t>
            </w:r>
          </w:p>
        </w:tc>
        <w:tc>
          <w:tcPr>
            <w:tcW w:type="dxa" w:w="460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必备内容</w:t>
            </w:r>
          </w:p>
        </w:tc>
        <w:tc>
          <w:tcPr>
            <w:tcW w:type="dxa" w:w="295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关键约束</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班次模板</w:t>
            </w:r>
          </w:p>
        </w:tc>
        <w:tc>
          <w:tcPr>
            <w:tcW w:type="dxa" w:w="460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一个或多个工作段、休息段、上下班时间、有效打卡窗口</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工作段不得重叠；计划工时为工作段之和</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工作日历</w:t>
            </w:r>
          </w:p>
        </w:tc>
        <w:tc>
          <w:tcPr>
            <w:tcW w:type="dxa" w:w="460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工作日、休息日、法定节假日、调休工作日</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日期唯一；修改开放月份触发重算</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考勤班组</w:t>
            </w:r>
          </w:p>
        </w:tc>
        <w:tc>
          <w:tcPr>
            <w:tcW w:type="dxa" w:w="460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班次版本、日历、地点、迟到规则、跨日截止、餐扣、负责人</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发布后按生效日期版本化</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季节班次版本</w:t>
            </w:r>
          </w:p>
        </w:tc>
        <w:tc>
          <w:tcPr>
            <w:tcW w:type="dxa" w:w="460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适用起止日、工作段、休息段、打卡窗口、年度重复方式</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同一班组同一日期只能命中一个版本；夏冬令自动切换</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人员归组</w:t>
            </w:r>
          </w:p>
        </w:tc>
        <w:tc>
          <w:tcPr>
            <w:tcW w:type="dxa" w:w="460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员工、班组、生效日、失效日、来源</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任一日期只能命中一个有效班组</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临时特殊组</w:t>
            </w:r>
          </w:p>
        </w:tc>
        <w:tc>
          <w:tcPr>
            <w:tcW w:type="dxa" w:w="460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孕检、哺乳、上海地点总部时间等特殊计划</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必须有失效日；不允许无限期个人硬编码</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地点规则</w:t>
            </w:r>
          </w:p>
        </w:tc>
        <w:tc>
          <w:tcPr>
            <w:tcW w:type="dxa" w:w="460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设备、办公地点、允许位置或外勤方式</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地点与班次解耦，支持人在上海执行总部时间</w:t>
            </w:r>
          </w:p>
        </w:tc>
      </w:tr>
    </w:tbl>
    <w:p>
      <w:pPr>
        <w:spacing w:after="40"/>
      </w:pPr>
    </w:p>
    <w:p>
      <w:pPr>
        <w:pStyle w:val="Heading2"/>
        <w:keepNext/>
      </w:pPr>
      <w:r>
        <w:rPr>
          <w:rFonts w:ascii="PingFang SC" w:hAnsi="PingFang SC" w:eastAsia="PingFang SC" w:cs="PingFang SC"/>
        </w:rPr>
        <w:t>5.2 初始班组建议</w:t>
      </w:r>
    </w:p>
    <w:tbl>
      <w:tblPr>
        <w:tblStyle w:val="TableGrid"/>
        <w:tblW w:type="dxa" w:w="9360"/>
        <w:jc w:val="left"/>
        <w:tblLayout w:type="fixed"/>
        <w:tblLook w:firstColumn="1" w:firstRow="1" w:lastColumn="0" w:lastRow="0" w:noHBand="0" w:noVBand="1" w:val="04A0"/>
        <w:tblInd w:type="dxa" w:w="120"/>
      </w:tblPr>
      <w:tblGrid>
        <w:gridCol w:w="2232"/>
        <w:gridCol w:w="3240"/>
        <w:gridCol w:w="3888"/>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班组/班次</w:t>
            </w:r>
          </w:p>
        </w:tc>
        <w:tc>
          <w:tcPr>
            <w:tcW w:type="dxa" w:w="324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已知时间</w:t>
            </w:r>
          </w:p>
        </w:tc>
        <w:tc>
          <w:tcPr>
            <w:tcW w:type="dxa" w:w="388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产品处理</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总部常规组（夏/冬令）</w:t>
            </w:r>
          </w:p>
        </w:tc>
        <w:tc>
          <w:tcPr>
            <w:tcW w:type="dxa" w:w="32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夏令 05-01 至 09-30，08:30-18:00；冬令其余日期，08:30-17:30</w:t>
            </w:r>
          </w:p>
        </w:tc>
        <w:tc>
          <w:tcPr>
            <w:tcW w:type="dxa" w:w="38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同一班组绑定两个年度重复的班次版本，到生效日自动切换，无需季节性调组</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大连组</w:t>
            </w:r>
          </w:p>
        </w:tc>
        <w:tc>
          <w:tcPr>
            <w:tcW w:type="dxa" w:w="32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07:30-12:00、13:00-16:30</w:t>
            </w:r>
          </w:p>
        </w:tc>
        <w:tc>
          <w:tcPr>
            <w:tcW w:type="dxa" w:w="38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上午 4.5 小时、下午 3.5 小时；与所有初始班组一样默认启用晚餐扣减</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成都 RF 组</w:t>
            </w:r>
          </w:p>
        </w:tc>
        <w:tc>
          <w:tcPr>
            <w:tcW w:type="dxa" w:w="32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09:00-12:00、13:00-18:00</w:t>
            </w:r>
          </w:p>
        </w:tc>
        <w:tc>
          <w:tcPr>
            <w:tcW w:type="dxa" w:w="38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人员名单只用于初始归组，不写入规则代码</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上海地点/总部时间组</w:t>
            </w:r>
          </w:p>
        </w:tc>
        <w:tc>
          <w:tcPr>
            <w:tcW w:type="dxa" w:w="32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班次跟总部，打卡地点为上海</w:t>
            </w:r>
          </w:p>
        </w:tc>
        <w:tc>
          <w:tcPr>
            <w:tcW w:type="dxa" w:w="38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地点与班次分别引用；复用总部夏冬令班次版本</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孕检/哺乳特殊组</w:t>
            </w:r>
          </w:p>
        </w:tc>
        <w:tc>
          <w:tcPr>
            <w:tcW w:type="dxa" w:w="32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按批准的缩短或免考勤时段</w:t>
            </w:r>
          </w:p>
        </w:tc>
        <w:tc>
          <w:tcPr>
            <w:tcW w:type="dxa" w:w="38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设置明确起止日；到期自动回到后续已安排的常规组</w:t>
            </w:r>
          </w:p>
        </w:tc>
      </w:tr>
    </w:tbl>
    <w:p>
      <w:pPr>
        <w:spacing w:after="40"/>
      </w:pPr>
    </w:p>
    <w:p>
      <w:pPr>
        <w:pStyle w:val="Heading2"/>
        <w:keepNext/>
      </w:pPr>
      <w:r>
        <w:rPr>
          <w:rFonts w:ascii="PingFang SC" w:hAnsi="PingFang SC" w:eastAsia="PingFang SC" w:cs="PingFang SC"/>
        </w:rPr>
        <w:t>5.3 规则优先级</w:t>
      </w:r>
    </w:p>
    <w:p>
      <w:pPr>
        <w:spacing w:after="120"/>
      </w:pPr>
      <w:r>
        <w:rPr>
          <w:rFonts w:ascii="PingFang SC" w:hAnsi="PingFang SC" w:eastAsia="PingFang SC" w:cs="PingFang SC"/>
          <w:i w:val="0"/>
          <w:color w:val="1F2937"/>
          <w:sz w:val="22"/>
        </w:rPr>
        <w:t>任一日期只选择一套计划，不做多套规则叠加。固定优先级如下：</w:t>
      </w:r>
    </w:p>
    <w:p>
      <w:pPr>
        <w:spacing w:after="120"/>
      </w:pPr>
      <w:r>
        <w:rPr>
          <w:rFonts w:ascii="PingFang SC" w:hAnsi="PingFang SC" w:eastAsia="PingFang SC" w:cs="PingFang SC"/>
          <w:i w:val="0"/>
          <w:color w:val="1F2937"/>
          <w:sz w:val="22"/>
        </w:rPr>
        <w:t>1.  已通过的单日调班/临时排班（如后续启用）；</w:t>
      </w:r>
    </w:p>
    <w:p>
      <w:pPr>
        <w:spacing w:after="120"/>
      </w:pPr>
      <w:r>
        <w:rPr>
          <w:rFonts w:ascii="PingFang SC" w:hAnsi="PingFang SC" w:eastAsia="PingFang SC" w:cs="PingFang SC"/>
          <w:i w:val="0"/>
          <w:color w:val="1F2937"/>
          <w:sz w:val="22"/>
        </w:rPr>
        <w:t>2.  员工在该日期有效的专用考勤班组；</w:t>
      </w:r>
    </w:p>
    <w:p>
      <w:pPr>
        <w:spacing w:after="120"/>
      </w:pPr>
      <w:r>
        <w:rPr>
          <w:rFonts w:ascii="PingFang SC" w:hAnsi="PingFang SC" w:eastAsia="PingFang SC" w:cs="PingFang SC"/>
          <w:i w:val="0"/>
          <w:color w:val="1F2937"/>
          <w:sz w:val="22"/>
        </w:rPr>
        <w:t>3.  员工常规考勤班组；</w:t>
      </w:r>
    </w:p>
    <w:p>
      <w:pPr>
        <w:spacing w:after="120"/>
      </w:pPr>
      <w:r>
        <w:rPr>
          <w:rFonts w:ascii="PingFang SC" w:hAnsi="PingFang SC" w:eastAsia="PingFang SC" w:cs="PingFang SC"/>
          <w:i w:val="0"/>
          <w:color w:val="1F2937"/>
          <w:sz w:val="22"/>
        </w:rPr>
        <w:t>4.  组织默认班组；</w:t>
      </w:r>
    </w:p>
    <w:p>
      <w:pPr>
        <w:spacing w:after="120"/>
      </w:pPr>
      <w:r>
        <w:rPr>
          <w:rFonts w:ascii="PingFang SC" w:hAnsi="PingFang SC" w:eastAsia="PingFang SC" w:cs="PingFang SC"/>
          <w:i w:val="0"/>
          <w:color w:val="1F2937"/>
          <w:sz w:val="22"/>
        </w:rPr>
        <w:t>5.  均未命中时标记“未配置班组”，禁止自动按总部规则猜测。</w:t>
      </w:r>
    </w:p>
    <w:p>
      <w:pPr>
        <w:spacing w:before="100" w:after="160" w:line="264" w:lineRule="auto"/>
        <w:shd w:fill="EAF2F8"/>
        <w:pBdr>
          <w:left w:val="single" w:sz="18" w:space="8" w:color="2E74B5"/>
        </w:pBdr>
        <w:ind w:left="160" w:right="160"/>
        <w:keepLines/>
      </w:pPr>
      <w:r>
        <w:rPr>
          <w:rFonts w:ascii="PingFang SC" w:hAnsi="PingFang SC" w:eastAsia="PingFang SC" w:cs="PingFang SC"/>
          <w:b/>
          <w:color w:val="2E74B5"/>
          <w:sz w:val="21"/>
        </w:rPr>
        <w:t xml:space="preserve">变更规则  </w:t>
      </w:r>
      <w:r>
        <w:rPr>
          <w:rFonts w:ascii="PingFang SC" w:hAnsi="PingFang SC" w:eastAsia="PingFang SC" w:cs="PingFang SC"/>
          <w:color w:val="1F2937"/>
          <w:sz w:val="21"/>
        </w:rPr>
        <w:t>班组变更必须设置生效日期。未来日期可直接调整；已发生但未月结日期需提示影响人数和日期并重算；已月结日期禁止静默覆盖。</w:t>
      </w:r>
    </w:p>
    <w:p>
      <w:pPr>
        <w:pStyle w:val="Heading2"/>
        <w:keepNext/>
      </w:pPr>
      <w:r>
        <w:rPr>
          <w:rFonts w:ascii="PingFang SC" w:hAnsi="PingFang SC" w:eastAsia="PingFang SC" w:cs="PingFang SC"/>
        </w:rPr>
        <w:t>5.4 通用规则配置机制</w:t>
      </w:r>
    </w:p>
    <w:p>
      <w:pPr>
        <w:spacing w:after="120"/>
      </w:pPr>
      <w:r>
        <w:rPr>
          <w:rFonts w:ascii="PingFang SC" w:hAnsi="PingFang SC" w:eastAsia="PingFang SC" w:cs="PingFang SC"/>
          <w:i w:val="0"/>
          <w:color w:val="1F2937"/>
          <w:sz w:val="22"/>
        </w:rPr>
        <w:t>考勤与假期规则采用成熟 HR 产品常见的“策略模板 + 适用范围 + 生效版本”模式。P0 提供类型化字段和受控选项，不开放任意脚本或直接编辑数据库；既保证可配置，也避免规则无法验证、无法解释。</w:t>
      </w:r>
    </w:p>
    <w:tbl>
      <w:tblPr>
        <w:tblStyle w:val="TableGrid"/>
        <w:tblW w:type="dxa" w:w="9360"/>
        <w:jc w:val="left"/>
        <w:tblLayout w:type="fixed"/>
        <w:tblLook w:firstColumn="1" w:firstRow="1" w:lastColumn="0" w:lastRow="0" w:noHBand="0" w:noVBand="1" w:val="04A0"/>
        <w:tblInd w:type="dxa" w:w="120"/>
      </w:tblPr>
      <w:tblGrid>
        <w:gridCol w:w="2016"/>
        <w:gridCol w:w="5400"/>
        <w:gridCol w:w="1944"/>
      </w:tblGrid>
      <w:tr>
        <w:trPr>
          <w:tblHeader w:val="true"/>
          <w:cantSplit w:val="true"/>
        </w:trPr>
        <w:tc>
          <w:tcPr>
            <w:tcW w:type="dxa" w:w="201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规则域</w:t>
            </w:r>
          </w:p>
        </w:tc>
        <w:tc>
          <w:tcPr>
            <w:tcW w:type="dxa" w:w="540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主要可配置项</w:t>
            </w:r>
          </w:p>
        </w:tc>
        <w:tc>
          <w:tcPr>
            <w:tcW w:type="dxa" w:w="194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默认归属</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班次与日历</w:t>
            </w:r>
          </w:p>
        </w:tc>
        <w:tc>
          <w:tcPr>
            <w:tcW w:type="dxa" w:w="54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工作段/休息段、打卡窗口、夏冬令版本、工作日/休息日/节假日、跨日截止</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考勤班组</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打卡与异常</w:t>
            </w:r>
          </w:p>
        </w:tc>
        <w:tc>
          <w:tcPr>
            <w:tcW w:type="dxa" w:w="54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有效卡选择、迟到/早退起算、月度豁免次数和分钟、缺卡处理期限及逾期动作</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考勤班组</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加班与餐扣</w:t>
            </w:r>
          </w:p>
        </w:tc>
        <w:tc>
          <w:tcPr>
            <w:tcW w:type="dxa" w:w="54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申请前后置、临时补单期限、加班类型、补偿方式、餐别/窗口/分钟/触发方式</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考勤班组</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假别与余额</w:t>
            </w:r>
          </w:p>
        </w:tc>
        <w:tc>
          <w:tcPr>
            <w:tcW w:type="dxa" w:w="54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工作日/自然日/小时、最小单位、额度、资格、材料、余额控制、有效期、销假</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假别策略；可限定组织/班组</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年假</w:t>
            </w:r>
          </w:p>
        </w:tc>
        <w:tc>
          <w:tcPr>
            <w:tcW w:type="dxa" w:w="54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资格门槛、累计工龄档位、发放日、有效期、升档处理、二次入职、闰日周年</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年假策略；可限定公司范围</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账号与安全</w:t>
            </w:r>
          </w:p>
        </w:tc>
        <w:tc>
          <w:tcPr>
            <w:tcW w:type="dxa" w:w="54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用户名生成、密码强度、失败锁定、会话时长、首次改密</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公司级安全策略</w:t>
            </w:r>
          </w:p>
        </w:tc>
      </w:tr>
    </w:tbl>
    <w:p>
      <w:pPr>
        <w:spacing w:after="40"/>
      </w:pPr>
    </w:p>
    <w:tbl>
      <w:tblPr>
        <w:tblStyle w:val="TableGrid"/>
        <w:tblW w:type="dxa" w:w="9360"/>
        <w:jc w:val="left"/>
        <w:tblLayout w:type="fixed"/>
        <w:tblLook w:firstColumn="1" w:firstRow="1" w:lastColumn="0" w:lastRow="0" w:noHBand="0" w:noVBand="1" w:val="04A0"/>
        <w:tblInd w:type="dxa" w:w="120"/>
      </w:tblPr>
      <w:tblGrid>
        <w:gridCol w:w="2232"/>
        <w:gridCol w:w="7128"/>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治理能力</w:t>
            </w:r>
          </w:p>
        </w:tc>
        <w:tc>
          <w:tcPr>
            <w:tcW w:type="dxa" w:w="712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产品要求</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作用范围</w:t>
            </w:r>
          </w:p>
        </w:tc>
        <w:tc>
          <w:tcPr>
            <w:tcW w:type="dxa" w:w="71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公司默认 → 考勤班组/假别策略；员工特殊情况通过有有效期的专用班组承载，不做隐藏的个人参数覆盖</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草稿与发布</w:t>
            </w:r>
          </w:p>
        </w:tc>
        <w:tc>
          <w:tcPr>
            <w:tcW w:type="dxa" w:w="71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编辑只产生草稿；发布前校验日期空档/重叠、数值边界、规则冲突和影响人数，授权人确认后生效</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版本与追溯</w:t>
            </w:r>
          </w:p>
        </w:tc>
        <w:tc>
          <w:tcPr>
            <w:tcW w:type="dxa" w:w="71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保存规则版本、生效/失效时间、发布人、原因；每条计算结果记录命中的版本和关键参数快照</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试算与影响预览</w:t>
            </w:r>
          </w:p>
        </w:tc>
        <w:tc>
          <w:tcPr>
            <w:tcW w:type="dxa" w:w="71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可选员工/日期用新旧规则并行试算，展示日结果、加班、异常和余额差异</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月结保护</w:t>
            </w:r>
          </w:p>
        </w:tc>
        <w:tc>
          <w:tcPr>
            <w:tcW w:type="dxa" w:w="71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未来版本可直接发布；开放月份按权限触发重算；已关闭月份只能形成差异或经反月结生成新版本</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默认值</w:t>
            </w:r>
          </w:p>
        </w:tc>
        <w:tc>
          <w:tcPr>
            <w:tcW w:type="dxa" w:w="71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系统提供本 PRD 的客户初始模板；管理员可复制后调整，禁用关键规则需填写原因并记录审计</w:t>
            </w:r>
          </w:p>
        </w:tc>
      </w:tr>
    </w:tbl>
    <w:p>
      <w:pPr>
        <w:spacing w:after="40"/>
      </w:pPr>
    </w:p>
    <w:p>
      <w:pPr>
        <w:pStyle w:val="Heading2"/>
        <w:keepNext/>
      </w:pPr>
      <w:r>
        <w:rPr>
          <w:rFonts w:ascii="PingFang SC" w:hAnsi="PingFang SC" w:eastAsia="PingFang SC" w:cs="PingFang SC"/>
        </w:rPr>
        <w:t>5.5 班组与规则配置验收</w:t>
      </w:r>
    </w:p>
    <w:tbl>
      <w:tblPr>
        <w:tblStyle w:val="TableGrid"/>
        <w:tblW w:type="dxa" w:w="9360"/>
        <w:jc w:val="left"/>
        <w:tblLayout w:type="fixed"/>
        <w:tblLook w:firstColumn="1" w:firstRow="1" w:lastColumn="0" w:lastRow="0" w:noHBand="0" w:noVBand="1" w:val="04A0"/>
        <w:tblInd w:type="dxa" w:w="120"/>
      </w:tblPr>
      <w:tblGrid>
        <w:gridCol w:w="1656"/>
        <w:gridCol w:w="7704"/>
      </w:tblGrid>
      <w:tr>
        <w:trPr>
          <w:tblHeader w:val="true"/>
          <w:cantSplit w:val="true"/>
        </w:trPr>
        <w:tc>
          <w:tcPr>
            <w:tcW w:type="dxa" w:w="165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AC</w:t>
            </w:r>
          </w:p>
        </w:tc>
        <w:tc>
          <w:tcPr>
            <w:tcW w:type="dxa" w:w="770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验收条件</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AC-GRP-01</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同一员工同一日期命中两个班组时，系统阻止发布归组并提示冲突区间。</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AC-GRP-02</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大连员工上午请 0.5 天假扣 4.5 小时，下午请 0.5 天假扣 3.5 小时。</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AC-GRP-03</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上海地点/总部时间组使用上海地点校验，同时按总部当季有效班次版本计算上下班。</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AC-GRP-04</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临时特殊组到期后按已安排的后续常规组计算；没有后续组则产生配置异常。</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AC-GRP-05</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总部常规组在 05-01 自动切换夏令班次、10-01 自动切换冬令班次，12 月 31 日仍能命中冬令班次。</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AC-GRP-06</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同一考勤班组的两个班次版本有效期重叠或出现日期空档时，系统阻止发布并指出冲突日期。</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AC-GRP-07</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规则发布前可选员工和日期试算并查看新旧差异；结果可追溯到规则版本及关键参数。</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AC-GRP-08</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对已月结日期修改规则时不得直接覆盖结果，只能生成差异或走授权反月结。</w:t>
            </w:r>
          </w:p>
        </w:tc>
      </w:tr>
    </w:tbl>
    <w:p>
      <w:pPr>
        <w:spacing w:after="40"/>
      </w:pPr>
    </w:p>
    <w:p>
      <w:pPr>
        <w:pStyle w:val="Heading1"/>
        <w:keepNext/>
      </w:pPr>
      <w:r>
        <w:rPr>
          <w:rFonts w:ascii="PingFang SC" w:hAnsi="PingFang SC" w:eastAsia="PingFang SC" w:cs="PingFang SC"/>
        </w:rPr>
        <w:t>6. 数据接入、标准化与证据模型</w:t>
      </w:r>
    </w:p>
    <w:p>
      <w:pPr>
        <w:pStyle w:val="Heading2"/>
        <w:keepNext/>
      </w:pPr>
      <w:r>
        <w:rPr>
          <w:rFonts w:ascii="PingFang SC" w:hAnsi="PingFang SC" w:eastAsia="PingFang SC" w:cs="PingFang SC"/>
        </w:rPr>
        <w:t>6.1 外部来源边界</w:t>
      </w:r>
    </w:p>
    <w:tbl>
      <w:tblPr>
        <w:tblStyle w:val="TableGrid"/>
        <w:tblW w:type="dxa" w:w="9360"/>
        <w:jc w:val="left"/>
        <w:tblLayout w:type="fixed"/>
        <w:tblLook w:firstColumn="1" w:firstRow="1" w:lastColumn="0" w:lastRow="0" w:noHBand="0" w:noVBand="1" w:val="04A0"/>
        <w:tblInd w:type="dxa" w:w="120"/>
      </w:tblPr>
      <w:tblGrid>
        <w:gridCol w:w="1944"/>
        <w:gridCol w:w="3312"/>
        <w:gridCol w:w="2376"/>
        <w:gridCol w:w="1728"/>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来源</w:t>
            </w:r>
          </w:p>
        </w:tc>
        <w:tc>
          <w:tcPr>
            <w:tcW w:type="dxa" w:w="331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P0 用途</w:t>
            </w:r>
          </w:p>
        </w:tc>
        <w:tc>
          <w:tcPr>
            <w:tcW w:type="dxa" w:w="237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接入方式</w:t>
            </w:r>
          </w:p>
        </w:tc>
        <w:tc>
          <w:tcPr>
            <w:tcW w:type="dxa" w:w="172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不允许</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致远组织 Excel</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一次性初始化组织/员工</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人工上传、预校验、一次发布</w:t>
            </w:r>
          </w:p>
        </w:tc>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定时同步、双向同步、用 OA 变更覆盖本地</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得力云</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原始打卡时间、方式、设备/地点证据</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官方 API 增量拉取，幂等保存</w:t>
            </w:r>
          </w:p>
        </w:tc>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删除或修改上游打卡、采集生物模板</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致远 OA 业务单据</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请假、销假、加班、出差、外出、补签、调休等</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优先只读 API；必要时只读视图适配</w:t>
            </w:r>
          </w:p>
        </w:tc>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写回 OA、把草稿/驳回单据参与计算</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本地 HR 调整</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无法由有效单据解决的最终裁定</w:t>
            </w:r>
          </w:p>
        </w:tc>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受权限控制的调整记录</w:t>
            </w:r>
          </w:p>
        </w:tc>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直接改原始打卡或删除历史</w:t>
            </w:r>
          </w:p>
        </w:tc>
      </w:tr>
    </w:tbl>
    <w:p>
      <w:pPr>
        <w:spacing w:after="40"/>
      </w:pPr>
    </w:p>
    <w:p>
      <w:pPr>
        <w:spacing w:before="100" w:after="160" w:line="264" w:lineRule="auto"/>
        <w:shd w:fill="EAF2F8"/>
        <w:pBdr>
          <w:left w:val="single" w:sz="18" w:space="8" w:color="2E74B5"/>
        </w:pBdr>
        <w:ind w:left="160" w:right="160"/>
        <w:keepLines/>
      </w:pPr>
      <w:r>
        <w:rPr>
          <w:rFonts w:ascii="PingFang SC" w:hAnsi="PingFang SC" w:eastAsia="PingFang SC" w:cs="PingFang SC"/>
          <w:b/>
          <w:color w:val="2E74B5"/>
          <w:sz w:val="21"/>
        </w:rPr>
        <w:t xml:space="preserve">默认假设  </w:t>
      </w:r>
      <w:r>
        <w:rPr>
          <w:rFonts w:ascii="PingFang SC" w:hAnsi="PingFang SC" w:eastAsia="PingFang SC" w:cs="PingFang SC"/>
          <w:color w:val="1F2937"/>
          <w:sz w:val="21"/>
        </w:rPr>
        <w:t>取消的是组织同步，不是考勤业务单据接入。本版默认继续只读接收致远 OA 的有效考勤单据；若客户后续改为本系统审批，只替换单据来源，不改变内部证据和计算模型。</w:t>
      </w:r>
    </w:p>
    <w:p>
      <w:pPr>
        <w:pStyle w:val="Heading2"/>
        <w:keepNext/>
      </w:pPr>
      <w:r>
        <w:rPr>
          <w:rFonts w:ascii="PingFang SC" w:hAnsi="PingFang SC" w:eastAsia="PingFang SC" w:cs="PingFang SC"/>
        </w:rPr>
        <w:t>6.2 原始数据与标准化</w:t>
      </w:r>
    </w:p>
    <w:p>
      <w:pPr>
        <w:pStyle w:val="ListBullet"/>
        <w:spacing w:after="80" w:line="280" w:lineRule="auto"/>
      </w:pPr>
      <w:r>
        <w:rPr>
          <w:rFonts w:ascii="PingFang SC" w:hAnsi="PingFang SC" w:eastAsia="PingFang SC" w:cs="PingFang SC"/>
          <w:color w:val="1F2937"/>
          <w:sz w:val="22"/>
        </w:rPr>
        <w:t>每条得力打卡保存来源记录 ID、员工外部标识、打卡时间、方式、地点摘要、同步批次和接收时间；来源记录 ID + 来源实例构成幂等键。</w:t>
      </w:r>
    </w:p>
    <w:p>
      <w:pPr>
        <w:pStyle w:val="ListBullet"/>
        <w:spacing w:after="80" w:line="280" w:lineRule="auto"/>
      </w:pPr>
      <w:r>
        <w:rPr>
          <w:rFonts w:ascii="PingFang SC" w:hAnsi="PingFang SC" w:eastAsia="PingFang SC" w:cs="PingFang SC"/>
          <w:color w:val="1F2937"/>
          <w:sz w:val="22"/>
        </w:rPr>
        <w:t>每条 OA 单据保存来源单号、员工编号、类型、开始/结束时间、状态、首次提交时间、审批时间、撤销状态和来源批次。</w:t>
      </w:r>
    </w:p>
    <w:p>
      <w:pPr>
        <w:pStyle w:val="ListBullet"/>
        <w:spacing w:after="80" w:line="280" w:lineRule="auto"/>
      </w:pPr>
      <w:r>
        <w:rPr>
          <w:rFonts w:ascii="PingFang SC" w:hAnsi="PingFang SC" w:eastAsia="PingFang SC" w:cs="PingFang SC"/>
          <w:color w:val="1F2937"/>
          <w:sz w:val="22"/>
        </w:rPr>
        <w:t>外部员工通过员工编号或已确认的外部人员映射关联本地 employee_id；姓名和部门名称不得用于自动合并。</w:t>
      </w:r>
    </w:p>
    <w:p>
      <w:pPr>
        <w:pStyle w:val="ListBullet"/>
        <w:spacing w:after="80" w:line="280" w:lineRule="auto"/>
      </w:pPr>
      <w:r>
        <w:rPr>
          <w:rFonts w:ascii="PingFang SC" w:hAnsi="PingFang SC" w:eastAsia="PingFang SC" w:cs="PingFang SC"/>
          <w:color w:val="1F2937"/>
          <w:sz w:val="22"/>
        </w:rPr>
        <w:t>时间统一转换到企业业务时区后计算，同时保留来源时间和时区；起止区间统一按 [start, end) 处理。</w:t>
      </w:r>
    </w:p>
    <w:p>
      <w:pPr>
        <w:pStyle w:val="ListBullet"/>
        <w:spacing w:after="80" w:line="280" w:lineRule="auto"/>
      </w:pPr>
      <w:r>
        <w:rPr>
          <w:rFonts w:ascii="PingFang SC" w:hAnsi="PingFang SC" w:eastAsia="PingFang SC" w:cs="PingFang SC"/>
          <w:color w:val="1F2937"/>
          <w:sz w:val="22"/>
        </w:rPr>
        <w:t>未知单据状态、时间倒置、人员未映射、重复业务键或互斥时段重叠时，记录隔离并进入数据异常，不默认当作已通过。</w:t>
      </w:r>
    </w:p>
    <w:p>
      <w:pPr>
        <w:pStyle w:val="ListBullet"/>
        <w:spacing w:after="80" w:line="280" w:lineRule="auto"/>
      </w:pPr>
      <w:r>
        <w:rPr>
          <w:rFonts w:ascii="PingFang SC" w:hAnsi="PingFang SC" w:eastAsia="PingFang SC" w:cs="PingFang SC"/>
          <w:color w:val="1F2937"/>
          <w:sz w:val="22"/>
        </w:rPr>
        <w:t>原始数据永久只读；标准化记录、计算结果和人工调整均引用来源记录，不复制不必要的敏感字段。</w:t>
      </w:r>
    </w:p>
    <w:p>
      <w:pPr>
        <w:pStyle w:val="Heading2"/>
        <w:keepNext/>
      </w:pPr>
      <w:r>
        <w:rPr>
          <w:rFonts w:ascii="PingFang SC" w:hAnsi="PingFang SC" w:eastAsia="PingFang SC" w:cs="PingFang SC"/>
        </w:rPr>
        <w:t>6.3 证据优先级与互斥</w:t>
      </w:r>
    </w:p>
    <w:tbl>
      <w:tblPr>
        <w:tblStyle w:val="TableGrid"/>
        <w:tblW w:type="dxa" w:w="9360"/>
        <w:jc w:val="left"/>
        <w:tblLayout w:type="fixed"/>
        <w:tblLook w:firstColumn="1" w:firstRow="1" w:lastColumn="0" w:lastRow="0" w:noHBand="0" w:noVBand="1" w:val="04A0"/>
        <w:tblInd w:type="dxa" w:w="120"/>
      </w:tblPr>
      <w:tblGrid>
        <w:gridCol w:w="1080"/>
        <w:gridCol w:w="3600"/>
        <w:gridCol w:w="4680"/>
      </w:tblGrid>
      <w:tr>
        <w:trPr>
          <w:tblHeader w:val="true"/>
          <w:cantSplit w:val="true"/>
        </w:trPr>
        <w:tc>
          <w:tcPr>
            <w:tcW w:type="dxa" w:w="108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优先级</w:t>
            </w:r>
          </w:p>
        </w:tc>
        <w:tc>
          <w:tcPr>
            <w:tcW w:type="dxa" w:w="360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证据</w:t>
            </w:r>
          </w:p>
        </w:tc>
        <w:tc>
          <w:tcPr>
            <w:tcW w:type="dxa" w:w="468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作用</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1</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已批准的 HR 人工裁定/工时调整</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对指定员工和时段给出最终业务结论；必须有原因和审批/授权记录</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2</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已通过的销假、撤销或冲销</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缩短或取消原有效单据，并触发余额返还和重算</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3</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已通过的请假、调休、外出、出差、免打卡、补签、加班</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只覆盖自身有效时段；超出时段仍按打卡和班次计算</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4</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原始打卡事实</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证明到岗/离岗或排班外在岗，不因后续处理被修改</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5</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系统推导异常</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对未被上级证据覆盖的计划时段计算迟到、早退、缺卡、旷工等</w:t>
            </w:r>
          </w:p>
        </w:tc>
      </w:tr>
    </w:tbl>
    <w:p>
      <w:pPr>
        <w:spacing w:after="40"/>
      </w:pPr>
    </w:p>
    <w:p>
      <w:pPr>
        <w:spacing w:after="120"/>
      </w:pPr>
      <w:r>
        <w:rPr>
          <w:rFonts w:ascii="PingFang SC" w:hAnsi="PingFang SC" w:eastAsia="PingFang SC" w:cs="PingFang SC"/>
          <w:i w:val="0"/>
          <w:color w:val="1F2937"/>
          <w:sz w:val="22"/>
        </w:rPr>
        <w:t>同一员工同一时段的请假、调休、外出、出差和免打卡原则上互斥。上游历史数据发生重叠时，系统生成“证据冲突”并等待 HR 裁定，不能采用最后写入覆盖。加班可与正常出勤相邻，但不得与请假/调休时段重复认定。</w:t>
      </w:r>
    </w:p>
    <w:p>
      <w:pPr>
        <w:pStyle w:val="Heading2"/>
        <w:keepNext/>
      </w:pPr>
      <w:r>
        <w:rPr>
          <w:rFonts w:ascii="PingFang SC" w:hAnsi="PingFang SC" w:eastAsia="PingFang SC" w:cs="PingFang SC"/>
        </w:rPr>
        <w:t>6.4 同步与重算</w:t>
      </w:r>
    </w:p>
    <w:tbl>
      <w:tblPr>
        <w:tblStyle w:val="TableGrid"/>
        <w:tblW w:type="dxa" w:w="9360"/>
        <w:jc w:val="left"/>
        <w:tblLayout w:type="fixed"/>
        <w:tblLook w:firstColumn="1" w:firstRow="1" w:lastColumn="0" w:lastRow="0" w:noHBand="0" w:noVBand="1" w:val="04A0"/>
        <w:tblInd w:type="dxa" w:w="120"/>
      </w:tblPr>
      <w:tblGrid>
        <w:gridCol w:w="2232"/>
        <w:gridCol w:w="4392"/>
        <w:gridCol w:w="2736"/>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触发</w:t>
            </w:r>
          </w:p>
        </w:tc>
        <w:tc>
          <w:tcPr>
            <w:tcW w:type="dxa" w:w="439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处理范围</w:t>
            </w:r>
          </w:p>
        </w:tc>
        <w:tc>
          <w:tcPr>
            <w:tcW w:type="dxa" w:w="273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失败行为</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得力增量到达</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对应员工、打卡归属日及可能的前一跨日考勤日</w:t>
            </w:r>
          </w:p>
        </w:tc>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保留上次水位；失败页不越过，按退避策略重试</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OA 单据通过/修改/撤销</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单据起止与旧起止范围的并集</w:t>
            </w:r>
          </w:p>
        </w:tc>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隔离异常记录；不改既有正式结果</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班组/班次/日历变化</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生效区间内受影响员工与日期</w:t>
            </w:r>
          </w:p>
        </w:tc>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冲突时不发布规则</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员工任职/归组变化</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旧区间与新区间并集</w:t>
            </w:r>
          </w:p>
        </w:tc>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无唯一归属时生成基础数据异常</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人工调整</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指定员工和时段</w:t>
            </w:r>
          </w:p>
        </w:tc>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调整失败不产生半成品结果</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已月结月份发生变化</w:t>
            </w:r>
          </w:p>
        </w:tc>
        <w:tc>
          <w:tcPr>
            <w:tcW w:type="dxa" w:w="43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只生成月结后差异</w:t>
            </w:r>
          </w:p>
        </w:tc>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不自动覆盖关闭版本</w:t>
            </w:r>
          </w:p>
        </w:tc>
      </w:tr>
    </w:tbl>
    <w:p>
      <w:pPr>
        <w:spacing w:after="40"/>
      </w:pPr>
    </w:p>
    <w:p>
      <w:pPr>
        <w:pStyle w:val="Heading1"/>
        <w:keepNext/>
      </w:pPr>
      <w:r>
        <w:rPr>
          <w:rFonts w:ascii="PingFang SC" w:hAnsi="PingFang SC" w:eastAsia="PingFang SC" w:cs="PingFang SC"/>
        </w:rPr>
        <w:t>7. 日考勤、异常、加班与外出规则</w:t>
      </w:r>
    </w:p>
    <w:p>
      <w:pPr>
        <w:spacing w:before="80" w:after="80"/>
        <w:jc w:val="center"/>
      </w:pPr>
      <w:r>
        <w:rPr>
          <w:rFonts w:ascii="PingFang SC" w:hAnsi="PingFang SC" w:eastAsia="PingFang SC" w:cs="PingFang SC"/>
        </w:rPr>
        <w:drawing>
          <wp:inline xmlns:a="http://schemas.openxmlformats.org/drawingml/2006/main" xmlns:pic="http://schemas.openxmlformats.org/drawingml/2006/picture">
            <wp:extent cx="5715000" cy="3619500"/>
            <wp:docPr id="2" name="Picture 2" descr="系统按考勤组确定计划，归集打卡和有效单据，按时段计算日结果；异常处理后重算，月结关闭，关闭后变化形成差异。" title="图2  考勤计算与异常闭环"/>
            <wp:cNvGraphicFramePr>
              <a:graphicFrameLocks noChangeAspect="1"/>
            </wp:cNvGraphicFramePr>
            <a:graphic>
              <a:graphicData uri="http://schemas.openxmlformats.org/drawingml/2006/picture">
                <pic:pic>
                  <pic:nvPicPr>
                    <pic:cNvPr id="0" name="v19-attendance-flow.png"/>
                    <pic:cNvPicPr/>
                  </pic:nvPicPr>
                  <pic:blipFill>
                    <a:blip r:embed="rId12"/>
                    <a:stretch>
                      <a:fillRect/>
                    </a:stretch>
                  </pic:blipFill>
                  <pic:spPr>
                    <a:xfrm>
                      <a:off x="0" y="0"/>
                      <a:ext cx="5715000" cy="3619500"/>
                    </a:xfrm>
                    <a:prstGeom prst="rect"/>
                  </pic:spPr>
                </pic:pic>
              </a:graphicData>
            </a:graphic>
          </wp:inline>
        </w:drawing>
      </w:r>
    </w:p>
    <w:p>
      <w:pPr>
        <w:spacing w:before="0" w:after="160"/>
        <w:jc w:val="center"/>
        <w:keepLines/>
      </w:pPr>
      <w:r>
        <w:rPr>
          <w:rFonts w:ascii="PingFang SC" w:hAnsi="PingFang SC" w:eastAsia="PingFang SC" w:cs="PingFang SC"/>
          <w:i/>
          <w:color w:val="667085"/>
          <w:sz w:val="18"/>
        </w:rPr>
        <w:t>图2  考勤计算与异常闭环</w:t>
      </w:r>
    </w:p>
    <w:p>
      <w:pPr>
        <w:pStyle w:val="Heading2"/>
        <w:keepNext/>
      </w:pPr>
      <w:r>
        <w:rPr>
          <w:rFonts w:ascii="PingFang SC" w:hAnsi="PingFang SC" w:eastAsia="PingFang SC" w:cs="PingFang SC"/>
        </w:rPr>
        <w:t>7.1 计算口径与状态</w:t>
      </w:r>
    </w:p>
    <w:p>
      <w:pPr>
        <w:spacing w:after="120"/>
      </w:pPr>
      <w:r>
        <w:rPr>
          <w:rFonts w:ascii="PingFang SC" w:hAnsi="PingFang SC" w:eastAsia="PingFang SC" w:cs="PingFang SC"/>
          <w:i w:val="0"/>
          <w:color w:val="1F2937"/>
          <w:sz w:val="22"/>
        </w:rPr>
        <w:t>考勤内部以分钟和半开时间区间计算。日结果不是单值，而是由多个时段及标签组成，例如“上午正常 + 下午年假”“全天正常 + 晚间加班”。页面可汇总主状态，但明细必须保留全部时段。</w:t>
      </w:r>
    </w:p>
    <w:tbl>
      <w:tblPr>
        <w:tblStyle w:val="TableGrid"/>
        <w:tblW w:type="dxa" w:w="9360"/>
        <w:jc w:val="left"/>
        <w:tblLayout w:type="fixed"/>
        <w:tblLook w:firstColumn="1" w:firstRow="1" w:lastColumn="0" w:lastRow="0" w:noHBand="0" w:noVBand="1" w:val="04A0"/>
        <w:tblInd w:type="dxa" w:w="120"/>
      </w:tblPr>
      <w:tblGrid>
        <w:gridCol w:w="2088"/>
        <w:gridCol w:w="5040"/>
        <w:gridCol w:w="2232"/>
      </w:tblGrid>
      <w:tr>
        <w:trPr>
          <w:tblHeader w:val="true"/>
          <w:cantSplit w:val="true"/>
        </w:trPr>
        <w:tc>
          <w:tcPr>
            <w:tcW w:type="dxa" w:w="208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指标</w:t>
            </w:r>
          </w:p>
        </w:tc>
        <w:tc>
          <w:tcPr>
            <w:tcW w:type="dxa" w:w="504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定义</w:t>
            </w:r>
          </w:p>
        </w:tc>
        <w:tc>
          <w:tcPr>
            <w:tcW w:type="dxa" w:w="223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禁止混用</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应出勤工时 S</w:t>
            </w:r>
          </w:p>
        </w:tc>
        <w:tc>
          <w:tcPr>
            <w:tcW w:type="dxa" w:w="50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当日/当月班组计划工作段之和</w:t>
            </w:r>
          </w:p>
        </w:tc>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不含休息段、加班和自然日假</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排班内确认工作 W_in</w:t>
            </w:r>
          </w:p>
        </w:tc>
        <w:tc>
          <w:tcPr>
            <w:tcW w:type="dxa" w:w="50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计划工作段内被打卡、有效外出/出差或免打卡证据确认的工时</w:t>
            </w:r>
          </w:p>
        </w:tc>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不把请假当作实际工作</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延长在岗 E</w:t>
            </w:r>
          </w:p>
        </w:tc>
        <w:tc>
          <w:tcPr>
            <w:tcW w:type="dxa" w:w="50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排班外由打卡等事实证明的停留时长</w:t>
            </w:r>
          </w:p>
        </w:tc>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不等于认可加班</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认可加班 O</w:t>
            </w:r>
          </w:p>
        </w:tc>
        <w:tc>
          <w:tcPr>
            <w:tcW w:type="dxa" w:w="50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实际排班外证据与有效加班单的交集，扣除适用餐休</w:t>
            </w:r>
          </w:p>
        </w:tc>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无单据晚退不得计入</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请假/调休 L</w:t>
            </w:r>
          </w:p>
        </w:tc>
        <w:tc>
          <w:tcPr>
            <w:tcW w:type="dxa" w:w="50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被有效请假或调休单覆盖的计划工作时长</w:t>
            </w:r>
          </w:p>
        </w:tc>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余额扣减与工作事实分别记录</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旷工 A</w:t>
            </w:r>
          </w:p>
        </w:tc>
        <w:tc>
          <w:tcPr>
            <w:tcW w:type="dxa" w:w="50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计划工作段中无工作证据、无有效单据且已过处理期限的时长</w:t>
            </w:r>
          </w:p>
        </w:tc>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缺卡待处理期内不直接定为旷工</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实际工作工时</w:t>
            </w:r>
          </w:p>
        </w:tc>
        <w:tc>
          <w:tcPr>
            <w:tcW w:type="dxa" w:w="50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W_in + O</w:t>
            </w:r>
          </w:p>
        </w:tc>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加班转调休额度不得再次相加</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调休余额</w:t>
            </w:r>
          </w:p>
        </w:tc>
        <w:tc>
          <w:tcPr>
            <w:tcW w:type="dxa" w:w="50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期初 + 加班转入 + 调整 - 调休使用 - 到期</w:t>
            </w:r>
          </w:p>
        </w:tc>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属于时间账户，不是实际工作工时</w:t>
            </w:r>
          </w:p>
        </w:tc>
      </w:tr>
    </w:tbl>
    <w:p>
      <w:pPr>
        <w:spacing w:after="40"/>
      </w:pPr>
    </w:p>
    <w:p>
      <w:pPr>
        <w:spacing w:before="100" w:after="160" w:line="264" w:lineRule="auto"/>
        <w:shd w:fill="FFF4E5"/>
        <w:pBdr>
          <w:left w:val="single" w:sz="18" w:space="8" w:color="A15C00"/>
        </w:pBdr>
        <w:ind w:left="160" w:right="160"/>
        <w:keepLines/>
      </w:pPr>
      <w:r>
        <w:rPr>
          <w:rFonts w:ascii="PingFang SC" w:hAnsi="PingFang SC" w:eastAsia="PingFang SC" w:cs="PingFang SC"/>
          <w:b/>
          <w:color w:val="A15C00"/>
          <w:sz w:val="21"/>
        </w:rPr>
        <w:t xml:space="preserve">原公式优化  </w:t>
      </w:r>
      <w:r>
        <w:rPr>
          <w:rFonts w:ascii="PingFang SC" w:hAnsi="PingFang SC" w:eastAsia="PingFang SC" w:cs="PingFang SC"/>
          <w:color w:val="1F2937"/>
          <w:sz w:val="21"/>
        </w:rPr>
        <w:t>客户材料中的“实际工时 = 应出勤 + 加班 - 请假 + 加班换调休 - 实际调休 - 旷工”会把同一加班在“加班工时”和“转调休额度”中重复相加。本版将工作事实与时间账户分开，报表可同时展示，但不做重复合计。</w:t>
      </w:r>
    </w:p>
    <w:p>
      <w:pPr>
        <w:pStyle w:val="Heading2"/>
        <w:keepNext/>
      </w:pPr>
      <w:r>
        <w:rPr>
          <w:rFonts w:ascii="PingFang SC" w:hAnsi="PingFang SC" w:eastAsia="PingFang SC" w:cs="PingFang SC"/>
        </w:rPr>
        <w:t>7.2 打卡匹配、迟到与早退</w:t>
      </w:r>
    </w:p>
    <w:p>
      <w:pPr>
        <w:pStyle w:val="ListBullet"/>
        <w:spacing w:after="80" w:line="280" w:lineRule="auto"/>
      </w:pPr>
      <w:r>
        <w:rPr>
          <w:rFonts w:ascii="PingFang SC" w:hAnsi="PingFang SC" w:eastAsia="PingFang SC" w:cs="PingFang SC"/>
          <w:color w:val="1F2937"/>
          <w:sz w:val="22"/>
        </w:rPr>
        <w:t>每个工作段分别取有效上班卡和下班卡；同一原始打卡默认只参与一次匹配。有效窗口由班次配置。</w:t>
      </w:r>
    </w:p>
    <w:p>
      <w:pPr>
        <w:pStyle w:val="ListBullet"/>
        <w:spacing w:after="80" w:line="280" w:lineRule="auto"/>
      </w:pPr>
      <w:r>
        <w:rPr>
          <w:rFonts w:ascii="PingFang SC" w:hAnsi="PingFang SC" w:eastAsia="PingFang SC" w:cs="PingFang SC"/>
          <w:color w:val="1F2937"/>
          <w:sz w:val="22"/>
        </w:rPr>
        <w:t>迟到 = 计划开始至首个有效到岗证据之间未被请假、外出、出差、免打卡等覆盖的分钟数。</w:t>
      </w:r>
    </w:p>
    <w:p>
      <w:pPr>
        <w:pStyle w:val="ListBullet"/>
        <w:spacing w:after="80" w:line="280" w:lineRule="auto"/>
      </w:pPr>
      <w:r>
        <w:rPr>
          <w:rFonts w:ascii="PingFang SC" w:hAnsi="PingFang SC" w:eastAsia="PingFang SC" w:cs="PingFang SC"/>
          <w:color w:val="1F2937"/>
          <w:sz w:val="22"/>
        </w:rPr>
        <w:t>早退 = 最后有效离岗证据至计划结束之间未被有效单据覆盖的分钟数。</w:t>
      </w:r>
    </w:p>
    <w:p>
      <w:pPr>
        <w:pStyle w:val="ListBullet"/>
        <w:spacing w:after="80" w:line="280" w:lineRule="auto"/>
      </w:pPr>
      <w:r>
        <w:rPr>
          <w:rFonts w:ascii="PingFang SC" w:hAnsi="PingFang SC" w:eastAsia="PingFang SC" w:cs="PingFang SC"/>
          <w:color w:val="1F2937"/>
          <w:sz w:val="22"/>
        </w:rPr>
        <w:t>每名员工每个自然月默认有 1 次迟到豁免；第一次满足 0 &lt; 迟到分钟 &lt;=15 的事件记为“月度豁免”，原始迟到分钟保留，计罚分钟为 0。</w:t>
      </w:r>
    </w:p>
    <w:p>
      <w:pPr>
        <w:pStyle w:val="ListBullet"/>
        <w:spacing w:after="80" w:line="280" w:lineRule="auto"/>
      </w:pPr>
      <w:r>
        <w:rPr>
          <w:rFonts w:ascii="PingFang SC" w:hAnsi="PingFang SC" w:eastAsia="PingFang SC" w:cs="PingFang SC"/>
          <w:color w:val="1F2937"/>
          <w:sz w:val="22"/>
        </w:rPr>
        <w:t>迟到超过 15 分钟不享受也不消耗该机会；员工月中更换考勤班组不重置已用次数；豁免不影响同日早退、缺卡或旷工。</w:t>
      </w:r>
    </w:p>
    <w:p>
      <w:pPr>
        <w:pStyle w:val="ListBullet"/>
        <w:spacing w:after="80" w:line="280" w:lineRule="auto"/>
      </w:pPr>
      <w:r>
        <w:rPr>
          <w:rFonts w:ascii="PingFang SC" w:hAnsi="PingFang SC" w:eastAsia="PingFang SC" w:cs="PingFang SC"/>
          <w:color w:val="1F2937"/>
          <w:sz w:val="22"/>
        </w:rPr>
        <w:t>原始晚退打卡始终保留，但只有满足加班规则的部分进入认可加班。</w:t>
      </w:r>
    </w:p>
    <w:tbl>
      <w:tblPr>
        <w:tblStyle w:val="TableGrid"/>
        <w:tblW w:type="dxa" w:w="9360"/>
        <w:jc w:val="left"/>
        <w:tblLayout w:type="fixed"/>
        <w:tblLook w:firstColumn="1" w:firstRow="1" w:lastColumn="0" w:lastRow="0" w:noHBand="0" w:noVBand="1" w:val="04A0"/>
        <w:tblInd w:type="dxa" w:w="120"/>
      </w:tblPr>
      <w:tblGrid>
        <w:gridCol w:w="2376"/>
        <w:gridCol w:w="2304"/>
        <w:gridCol w:w="4680"/>
      </w:tblGrid>
      <w:tr>
        <w:trPr>
          <w:tblHeader w:val="true"/>
          <w:cantSplit w:val="true"/>
        </w:trPr>
        <w:tc>
          <w:tcPr>
            <w:tcW w:type="dxa" w:w="237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迟到豁免参数</w:t>
            </w:r>
          </w:p>
        </w:tc>
        <w:tc>
          <w:tcPr>
            <w:tcW w:type="dxa" w:w="230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默认值</w:t>
            </w:r>
          </w:p>
        </w:tc>
        <w:tc>
          <w:tcPr>
            <w:tcW w:type="dxa" w:w="468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说明</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统计范围</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员工</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按员工独立累计，不按部门或班组共享</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重置周期</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自然月</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按考勤日期所在自然月重置，跨日卡不改变归属月</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每周期次数</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1 次</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可配置为 0 或其他非负整数</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单次最大迟到</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15 分钟（含）</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可配置；超限事件不消耗机会</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消耗顺序</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首个合格事件</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按考勤日期和工作段顺序消耗首个符合条件事件</w:t>
            </w:r>
          </w:p>
        </w:tc>
      </w:tr>
    </w:tbl>
    <w:p>
      <w:pPr>
        <w:spacing w:after="40"/>
      </w:pPr>
    </w:p>
    <w:p>
      <w:pPr>
        <w:pStyle w:val="Heading2"/>
        <w:keepNext/>
      </w:pPr>
      <w:r>
        <w:rPr>
          <w:rFonts w:ascii="PingFang SC" w:hAnsi="PingFang SC" w:eastAsia="PingFang SC" w:cs="PingFang SC"/>
        </w:rPr>
        <w:t>7.3 缺卡、补签与旷工</w:t>
      </w:r>
    </w:p>
    <w:p>
      <w:pPr>
        <w:spacing w:before="100" w:after="160" w:line="264" w:lineRule="auto"/>
        <w:shd w:fill="F5F9FC"/>
        <w:pBdr>
          <w:left w:val="single" w:sz="18" w:space="8" w:color="2E74B5"/>
        </w:pBdr>
        <w:ind w:left="160" w:right="160"/>
        <w:keepLines/>
      </w:pPr>
      <w:r>
        <w:rPr>
          <w:rFonts w:ascii="PingFang SC" w:hAnsi="PingFang SC" w:eastAsia="PingFang SC" w:cs="PingFang SC"/>
          <w:b/>
          <w:color w:val="2E74B5"/>
          <w:sz w:val="21"/>
        </w:rPr>
        <w:t xml:space="preserve">单边缺卡定义  </w:t>
      </w:r>
      <w:r>
        <w:rPr>
          <w:rFonts w:ascii="PingFang SC" w:hAnsi="PingFang SC" w:eastAsia="PingFang SC" w:cs="PingFang SC"/>
          <w:color w:val="1F2937"/>
          <w:sz w:val="21"/>
        </w:rPr>
        <w:t>一个计划工作段应同时具备有效上班卡和下班卡，只存在其中一侧即为“单边缺卡”。“逾期”是指从该考勤日结束起，超过可配置补卡期限后，既没有有效证据，也没有在期限内首次提交且仍处于审批中的补签、请假、外出、出差或免打卡单据。期限内提交的单据可在期限后完成审批并触发重算；逾期前显示“缺卡待处理”，逾期后才按班组策略定案。</w:t>
      </w:r>
    </w:p>
    <w:tbl>
      <w:tblPr>
        <w:tblStyle w:val="TableGrid"/>
        <w:tblW w:type="dxa" w:w="9360"/>
        <w:jc w:val="left"/>
        <w:tblLayout w:type="fixed"/>
        <w:tblLook w:firstColumn="1" w:firstRow="1" w:lastColumn="0" w:lastRow="0" w:noHBand="0" w:noVBand="1" w:val="04A0"/>
        <w:tblInd w:type="dxa" w:w="120"/>
      </w:tblPr>
      <w:tblGrid>
        <w:gridCol w:w="2952"/>
        <w:gridCol w:w="2880"/>
        <w:gridCol w:w="3528"/>
      </w:tblGrid>
      <w:tr>
        <w:trPr>
          <w:tblHeader w:val="true"/>
          <w:cantSplit w:val="true"/>
        </w:trPr>
        <w:tc>
          <w:tcPr>
            <w:tcW w:type="dxa" w:w="295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场景</w:t>
            </w:r>
          </w:p>
        </w:tc>
        <w:tc>
          <w:tcPr>
            <w:tcW w:type="dxa" w:w="288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暂算</w:t>
            </w:r>
          </w:p>
        </w:tc>
        <w:tc>
          <w:tcPr>
            <w:tcW w:type="dxa" w:w="352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期限后/最终处理</w:t>
            </w:r>
          </w:p>
        </w:tc>
      </w:tr>
      <w:tr>
        <w:trPr>
          <w:trHeight w:hRule="atLeast"/>
          <w:cantSplit w:val="true"/>
        </w:trPr>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单边缺卡</w:t>
            </w:r>
          </w:p>
        </w:tc>
        <w:tc>
          <w:tcPr>
            <w:tcW w:type="dxa" w:w="28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缺卡待处理；不虚构另一侧打卡</w:t>
            </w:r>
          </w:p>
        </w:tc>
        <w:tc>
          <w:tcPr>
            <w:tcW w:type="dxa" w:w="35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有有效补单则重算；默认仅缺卡所在工作段转旷工，不扩大为整日</w:t>
            </w:r>
          </w:p>
        </w:tc>
      </w:tr>
      <w:tr>
        <w:trPr>
          <w:trHeight w:hRule="atLeast"/>
          <w:cantSplit w:val="true"/>
        </w:trPr>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整日无卡且无单据</w:t>
            </w:r>
          </w:p>
        </w:tc>
        <w:tc>
          <w:tcPr>
            <w:tcW w:type="dxa" w:w="28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全部计划工作段缺卡待处理</w:t>
            </w:r>
          </w:p>
        </w:tc>
        <w:tc>
          <w:tcPr>
            <w:tcW w:type="dxa" w:w="35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默认期限后，全部未覆盖计划工作段分别转旷工</w:t>
            </w:r>
          </w:p>
        </w:tc>
      </w:tr>
      <w:tr>
        <w:trPr>
          <w:trHeight w:hRule="atLeast"/>
          <w:cantSplit w:val="true"/>
        </w:trPr>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员工当天提交补签</w:t>
            </w:r>
          </w:p>
        </w:tc>
        <w:tc>
          <w:tcPr>
            <w:tcW w:type="dxa" w:w="28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立即显示单据处理中</w:t>
            </w:r>
          </w:p>
        </w:tc>
        <w:tc>
          <w:tcPr>
            <w:tcW w:type="dxa" w:w="35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审批通过后按补签时段视为正常出勤</w:t>
            </w:r>
          </w:p>
        </w:tc>
      </w:tr>
      <w:tr>
        <w:trPr>
          <w:trHeight w:hRule="atLeast"/>
          <w:cantSplit w:val="true"/>
        </w:trPr>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第 7 个自然日内提交</w:t>
            </w:r>
          </w:p>
        </w:tc>
        <w:tc>
          <w:tcPr>
            <w:tcW w:type="dxa" w:w="28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允许提交</w:t>
            </w:r>
          </w:p>
        </w:tc>
        <w:tc>
          <w:tcPr>
            <w:tcW w:type="dxa" w:w="35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审批通过后重算</w:t>
            </w:r>
          </w:p>
        </w:tc>
      </w:tr>
      <w:tr>
        <w:trPr>
          <w:trHeight w:hRule="atLeast"/>
          <w:cantSplit w:val="true"/>
        </w:trPr>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超过 7 个自然日</w:t>
            </w:r>
          </w:p>
        </w:tc>
        <w:tc>
          <w:tcPr>
            <w:tcW w:type="dxa" w:w="28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员工端禁止自行提交</w:t>
            </w:r>
          </w:p>
        </w:tc>
        <w:tc>
          <w:tcPr>
            <w:tcW w:type="dxa" w:w="35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仅 HR 可做有原因、有审计的人工裁定</w:t>
            </w:r>
          </w:p>
        </w:tc>
      </w:tr>
      <w:tr>
        <w:trPr>
          <w:trHeight w:hRule="atLeast"/>
          <w:cantSplit w:val="true"/>
        </w:trPr>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已通过免打卡</w:t>
            </w:r>
          </w:p>
        </w:tc>
        <w:tc>
          <w:tcPr>
            <w:tcW w:type="dxa" w:w="28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申请时段视为正常</w:t>
            </w:r>
          </w:p>
        </w:tc>
        <w:tc>
          <w:tcPr>
            <w:tcW w:type="dxa" w:w="35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时段外仍按真实打卡核算</w:t>
            </w:r>
          </w:p>
        </w:tc>
      </w:tr>
    </w:tbl>
    <w:p>
      <w:pPr>
        <w:spacing w:after="40"/>
      </w:pPr>
    </w:p>
    <w:tbl>
      <w:tblPr>
        <w:tblStyle w:val="TableGrid"/>
        <w:tblW w:type="dxa" w:w="9360"/>
        <w:jc w:val="left"/>
        <w:tblLayout w:type="fixed"/>
        <w:tblLook w:firstColumn="1" w:firstRow="1" w:lastColumn="0" w:lastRow="0" w:noHBand="0" w:noVBand="1" w:val="04A0"/>
        <w:tblInd w:type="dxa" w:w="120"/>
      </w:tblPr>
      <w:tblGrid>
        <w:gridCol w:w="2592"/>
        <w:gridCol w:w="2232"/>
        <w:gridCol w:w="4536"/>
      </w:tblGrid>
      <w:tr>
        <w:trPr>
          <w:tblHeader w:val="true"/>
          <w:cantSplit w:val="true"/>
        </w:trPr>
        <w:tc>
          <w:tcPr>
            <w:tcW w:type="dxa" w:w="259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缺卡策略参数</w:t>
            </w:r>
          </w:p>
        </w:tc>
        <w:tc>
          <w:tcPr>
            <w:tcW w:type="dxa" w:w="223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默认值</w:t>
            </w:r>
          </w:p>
        </w:tc>
        <w:tc>
          <w:tcPr>
            <w:tcW w:type="dxa" w:w="453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可选项/约束</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补卡期限</w:t>
            </w:r>
          </w:p>
        </w:tc>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7 个自然日</w:t>
            </w:r>
          </w:p>
        </w:tc>
        <w:tc>
          <w:tcPr>
            <w:tcW w:type="dxa" w:w="45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天数及自然日/工作日口径可配置</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单边缺卡逾期策略</w:t>
            </w:r>
          </w:p>
        </w:tc>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仅缺卡工作段转旷工</w:t>
            </w:r>
          </w:p>
        </w:tc>
        <w:tc>
          <w:tcPr>
            <w:tcW w:type="dxa" w:w="45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可选：仅缺卡工作段转旷工 / 整日旷工 / 保持待人工裁定</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策略归属</w:t>
            </w:r>
          </w:p>
        </w:tc>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考勤班组</w:t>
            </w:r>
          </w:p>
        </w:tc>
        <w:tc>
          <w:tcPr>
            <w:tcW w:type="dxa" w:w="45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随规则版本和生效日期发布；已月结结果不静默追溯</w:t>
            </w:r>
          </w:p>
        </w:tc>
      </w:tr>
    </w:tbl>
    <w:p>
      <w:pPr>
        <w:spacing w:after="40"/>
      </w:pPr>
    </w:p>
    <w:p>
      <w:pPr>
        <w:spacing w:after="120"/>
      </w:pPr>
      <w:r>
        <w:rPr>
          <w:rFonts w:ascii="PingFang SC" w:hAnsi="PingFang SC" w:eastAsia="PingFang SC" w:cs="PingFang SC"/>
          <w:i w:val="0"/>
          <w:color w:val="1F2937"/>
          <w:sz w:val="22"/>
        </w:rPr>
        <w:t>任何确认旷工工时 &gt;0 时，当月全勤资格为否。薪资扣款规则属于 P0-B，不改变考勤事实和全勤标志。</w:t>
      </w:r>
    </w:p>
    <w:p>
      <w:pPr>
        <w:pStyle w:val="Heading2"/>
        <w:keepNext/>
      </w:pPr>
      <w:r>
        <w:rPr>
          <w:rFonts w:ascii="PingFang SC" w:hAnsi="PingFang SC" w:eastAsia="PingFang SC" w:cs="PingFang SC"/>
        </w:rPr>
        <w:t>7.4 加班规则</w:t>
      </w:r>
    </w:p>
    <w:tbl>
      <w:tblPr>
        <w:tblStyle w:val="TableGrid"/>
        <w:tblW w:type="dxa" w:w="9360"/>
        <w:jc w:val="left"/>
        <w:tblLayout w:type="fixed"/>
        <w:tblLook w:firstColumn="1" w:firstRow="1" w:lastColumn="0" w:lastRow="0" w:noHBand="0" w:noVBand="1" w:val="04A0"/>
        <w:tblInd w:type="dxa" w:w="120"/>
      </w:tblPr>
      <w:tblGrid>
        <w:gridCol w:w="2160"/>
        <w:gridCol w:w="7200"/>
      </w:tblGrid>
      <w:tr>
        <w:trPr>
          <w:tblHeader w:val="true"/>
          <w:cantSplit w:val="true"/>
        </w:trPr>
        <w:tc>
          <w:tcPr>
            <w:tcW w:type="dxa" w:w="216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规则</w:t>
            </w:r>
          </w:p>
        </w:tc>
        <w:tc>
          <w:tcPr>
            <w:tcW w:type="dxa" w:w="720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P0 口径</w:t>
            </w:r>
          </w:p>
        </w:tc>
      </w:tr>
      <w:tr>
        <w:trPr>
          <w:trHeight w:hRule="atLeast"/>
          <w:cantSplit w:val="true"/>
        </w:trPr>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候选时长</w:t>
            </w:r>
          </w:p>
        </w:tc>
        <w:tc>
          <w:tcPr>
            <w:tcW w:type="dxa" w:w="72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排班外存在实际工作证据的时长，仅表示延长在岗</w:t>
            </w:r>
          </w:p>
        </w:tc>
      </w:tr>
      <w:tr>
        <w:trPr>
          <w:trHeight w:hRule="atLeast"/>
          <w:cantSplit w:val="true"/>
        </w:trPr>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普通加班</w:t>
            </w:r>
          </w:p>
        </w:tc>
        <w:tc>
          <w:tcPr>
            <w:tcW w:type="dxa" w:w="72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实际证据与已通过加班单取交集，再扣适用餐休</w:t>
            </w:r>
          </w:p>
        </w:tc>
      </w:tr>
      <w:tr>
        <w:trPr>
          <w:trHeight w:hRule="atLeast"/>
          <w:cantSplit w:val="true"/>
        </w:trPr>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临时加班</w:t>
            </w:r>
          </w:p>
        </w:tc>
        <w:tc>
          <w:tcPr>
            <w:tcW w:type="dxa" w:w="72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允许先工作后补单；补单期限按加班策略配置，项目默认 48 小时。以实际加班结束到首次提交的时间差判断，超期时认可加班为 0</w:t>
            </w:r>
          </w:p>
        </w:tc>
      </w:tr>
      <w:tr>
        <w:trPr>
          <w:trHeight w:hRule="atLeast"/>
          <w:cantSplit w:val="true"/>
        </w:trPr>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义务加班</w:t>
            </w:r>
          </w:p>
        </w:tc>
        <w:tc>
          <w:tcPr>
            <w:tcW w:type="dxa" w:w="72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记录延长在岗和认可工作时长，但可计薪加班与可转调休时长均为 0</w:t>
            </w:r>
          </w:p>
        </w:tc>
      </w:tr>
      <w:tr>
        <w:trPr>
          <w:trHeight w:hRule="atLeast"/>
          <w:cantSplit w:val="true"/>
        </w:trPr>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补偿方式</w:t>
            </w:r>
          </w:p>
        </w:tc>
        <w:tc>
          <w:tcPr>
            <w:tcW w:type="dxa" w:w="72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允许的计薪/转调休类型和默认值可配置；同一认可加班时段只能选择一种，不能既计薪又转调休</w:t>
            </w:r>
          </w:p>
        </w:tc>
      </w:tr>
      <w:tr>
        <w:trPr>
          <w:trHeight w:hRule="atLeast"/>
          <w:cantSplit w:val="true"/>
        </w:trPr>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全员晚餐扣减</w:t>
            </w:r>
          </w:p>
        </w:tc>
        <w:tc>
          <w:tcPr>
            <w:tcW w:type="dxa" w:w="72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所有初始考勤班组、工作日/周末/节假日均默认启用；认可加班完整跨越晚餐窗口时扣 0.5 小时</w:t>
            </w:r>
          </w:p>
        </w:tc>
      </w:tr>
      <w:tr>
        <w:trPr>
          <w:trHeight w:hRule="atLeast"/>
          <w:cantSplit w:val="true"/>
        </w:trPr>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周末/节假日午餐</w:t>
            </w:r>
          </w:p>
        </w:tc>
        <w:tc>
          <w:tcPr>
            <w:tcW w:type="dxa" w:w="72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完整跨越午餐窗口扣 1 小时；晚餐仍按全员规则再扣 0.5 小时；扣后不小于 0</w:t>
            </w:r>
          </w:p>
        </w:tc>
      </w:tr>
      <w:tr>
        <w:trPr>
          <w:trHeight w:hRule="atLeast"/>
          <w:cantSplit w:val="true"/>
        </w:trPr>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班组差异</w:t>
            </w:r>
          </w:p>
        </w:tc>
        <w:tc>
          <w:tcPr>
            <w:tcW w:type="dxa" w:w="72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启用状态、适用日类型、餐别、窗口、固定分钟数和触发方式均按考勤班组版本化配置，不写城市或人员特例</w:t>
            </w:r>
          </w:p>
        </w:tc>
      </w:tr>
      <w:tr>
        <w:trPr>
          <w:trHeight w:hRule="atLeast"/>
          <w:cantSplit w:val="true"/>
        </w:trPr>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计量精度</w:t>
            </w:r>
          </w:p>
        </w:tc>
        <w:tc>
          <w:tcPr>
            <w:tcW w:type="dxa" w:w="72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内部按分钟；报表展示到 0.01 小时，不在计算中提前取整</w:t>
            </w:r>
          </w:p>
        </w:tc>
      </w:tr>
    </w:tbl>
    <w:p>
      <w:pPr>
        <w:spacing w:after="40"/>
      </w:pPr>
    </w:p>
    <w:p>
      <w:pPr>
        <w:spacing w:after="120"/>
      </w:pPr>
      <w:r>
        <w:rPr>
          <w:rFonts w:ascii="PingFang SC" w:hAnsi="PingFang SC" w:eastAsia="PingFang SC" w:cs="PingFang SC"/>
          <w:i w:val="0"/>
          <w:color w:val="1F2937"/>
          <w:sz w:val="22"/>
        </w:rPr>
        <w:t>加班策略还可配置申请需前置或允许补办、补办期限、适用加班类型、最小时长及补偿方式。默认餐休窗口：午餐 12:00-13:00，晚餐 18:00-18:30；所有初始班组都启用晚餐扣减，默认触发方式为“完整覆盖”，即认可加班完整覆盖餐时窗口才固定扣减。班组可配置启用状态、适用日类型、餐别、窗口、扣减分钟和触发方式，同一餐窗最多扣一次且扣后不小于 0。这样 18:00-18:10 的短时加班不会被扣成 0，而 18:00-20:00 的工作日晚间加班认可 1.5 小时。</w:t>
      </w:r>
    </w:p>
    <w:p>
      <w:pPr>
        <w:pStyle w:val="Heading2"/>
        <w:keepNext/>
      </w:pPr>
      <w:r>
        <w:rPr>
          <w:rFonts w:ascii="PingFang SC" w:hAnsi="PingFang SC" w:eastAsia="PingFang SC" w:cs="PingFang SC"/>
        </w:rPr>
        <w:t>7.5 跨日加班</w:t>
      </w:r>
    </w:p>
    <w:p>
      <w:pPr>
        <w:pStyle w:val="ListBullet"/>
        <w:spacing w:after="80" w:line="280" w:lineRule="auto"/>
      </w:pPr>
      <w:r>
        <w:rPr>
          <w:rFonts w:ascii="PingFang SC" w:hAnsi="PingFang SC" w:eastAsia="PingFang SC" w:cs="PingFang SC"/>
          <w:color w:val="1F2937"/>
          <w:sz w:val="22"/>
        </w:rPr>
        <w:t>班组配置跨日截止时间，默认次日 06:00。</w:t>
      </w:r>
    </w:p>
    <w:p>
      <w:pPr>
        <w:pStyle w:val="ListBullet"/>
        <w:spacing w:after="80" w:line="280" w:lineRule="auto"/>
      </w:pPr>
      <w:r>
        <w:rPr>
          <w:rFonts w:ascii="PingFang SC" w:hAnsi="PingFang SC" w:eastAsia="PingFang SC" w:cs="PingFang SC"/>
          <w:color w:val="1F2937"/>
          <w:sz w:val="22"/>
        </w:rPr>
        <w:t>前一日有上班卡且存在跨日加班候选时，截止前的首条离场卡可作为前一考勤日下班卡。</w:t>
      </w:r>
    </w:p>
    <w:p>
      <w:pPr>
        <w:pStyle w:val="ListBullet"/>
        <w:spacing w:after="80" w:line="280" w:lineRule="auto"/>
      </w:pPr>
      <w:r>
        <w:rPr>
          <w:rFonts w:ascii="PingFang SC" w:hAnsi="PingFang SC" w:eastAsia="PingFang SC" w:cs="PingFang SC"/>
          <w:color w:val="1F2937"/>
          <w:sz w:val="22"/>
        </w:rPr>
        <w:t>被回挂的打卡不能同时作为次日上班卡；次日正常上班必须有另一条打卡。</w:t>
      </w:r>
    </w:p>
    <w:p>
      <w:pPr>
        <w:pStyle w:val="ListBullet"/>
        <w:spacing w:after="80" w:line="280" w:lineRule="auto"/>
      </w:pPr>
      <w:r>
        <w:rPr>
          <w:rFonts w:ascii="PingFang SC" w:hAnsi="PingFang SC" w:eastAsia="PingFang SC" w:cs="PingFang SC"/>
          <w:color w:val="1F2937"/>
          <w:sz w:val="22"/>
        </w:rPr>
        <w:t>超过跨日截止的打卡归次日，并生成前一日缺卡/跨日待确认异常。</w:t>
      </w:r>
    </w:p>
    <w:p>
      <w:pPr>
        <w:pStyle w:val="ListBullet"/>
        <w:spacing w:after="80" w:line="280" w:lineRule="auto"/>
      </w:pPr>
      <w:r>
        <w:rPr>
          <w:rFonts w:ascii="PingFang SC" w:hAnsi="PingFang SC" w:eastAsia="PingFang SC" w:cs="PingFang SC"/>
          <w:color w:val="1F2937"/>
          <w:sz w:val="22"/>
        </w:rPr>
        <w:t>跨日加班仍须满足有效加班单和加班策略中的补单期限（项目默认 48 小时）；跨日打卡只提供事实，不自动认可加班。</w:t>
      </w:r>
    </w:p>
    <w:p>
      <w:pPr>
        <w:pStyle w:val="Heading2"/>
        <w:keepNext/>
      </w:pPr>
      <w:r>
        <w:rPr>
          <w:rFonts w:ascii="PingFang SC" w:hAnsi="PingFang SC" w:eastAsia="PingFang SC" w:cs="PingFang SC"/>
        </w:rPr>
        <w:t>7.6 外出、出差与提前返岗</w:t>
      </w:r>
    </w:p>
    <w:tbl>
      <w:tblPr>
        <w:tblStyle w:val="TableGrid"/>
        <w:tblW w:type="dxa" w:w="9360"/>
        <w:jc w:val="left"/>
        <w:tblLayout w:type="fixed"/>
        <w:tblLook w:firstColumn="1" w:firstRow="1" w:lastColumn="0" w:lastRow="0" w:noHBand="0" w:noVBand="1" w:val="04A0"/>
        <w:tblInd w:type="dxa" w:w="120"/>
      </w:tblPr>
      <w:tblGrid>
        <w:gridCol w:w="3384"/>
        <w:gridCol w:w="5976"/>
      </w:tblGrid>
      <w:tr>
        <w:trPr>
          <w:tblHeader w:val="true"/>
          <w:cantSplit w:val="true"/>
        </w:trPr>
        <w:tc>
          <w:tcPr>
            <w:tcW w:type="dxa" w:w="338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场景</w:t>
            </w:r>
          </w:p>
        </w:tc>
        <w:tc>
          <w:tcPr>
            <w:tcW w:type="dxa" w:w="597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系统处理</w:t>
            </w:r>
          </w:p>
        </w:tc>
      </w:tr>
      <w:tr>
        <w:trPr>
          <w:trHeight w:hRule="atLeast"/>
          <w:cantSplit w:val="true"/>
        </w:trPr>
        <w:tc>
          <w:tcPr>
            <w:tcW w:type="dxa" w:w="33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外出/出差申请</w:t>
            </w:r>
          </w:p>
        </w:tc>
        <w:tc>
          <w:tcPr>
            <w:tcW w:type="dxa" w:w="59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提前申请、是否允许补办、补办期限和必填字段按单据策略配置；项目默认至少包含开始、结束、目的地和事由，覆盖的计划工作时段按正常工作处理</w:t>
            </w:r>
          </w:p>
        </w:tc>
      </w:tr>
      <w:tr>
        <w:trPr>
          <w:trHeight w:hRule="atLeast"/>
          <w:cantSplit w:val="true"/>
        </w:trPr>
        <w:tc>
          <w:tcPr>
            <w:tcW w:type="dxa" w:w="33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外出 15:00-18:00，15:00 离开前打卡</w:t>
            </w:r>
          </w:p>
        </w:tc>
        <w:tc>
          <w:tcPr>
            <w:tcW w:type="dxa" w:w="59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15:00-18:00 由外出单覆盖，不记早退、缺卡或旷工</w:t>
            </w:r>
          </w:p>
        </w:tc>
      </w:tr>
      <w:tr>
        <w:trPr>
          <w:trHeight w:hRule="atLeast"/>
          <w:cantSplit w:val="true"/>
        </w:trPr>
        <w:tc>
          <w:tcPr>
            <w:tcW w:type="dxa" w:w="33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14:50 已离开，申请从 15:00 开始</w:t>
            </w:r>
          </w:p>
        </w:tc>
        <w:tc>
          <w:tcPr>
            <w:tcW w:type="dxa" w:w="59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14:50-15:00 为未覆盖时段，按早退/异常处理，除非变更申请</w:t>
            </w:r>
          </w:p>
        </w:tc>
      </w:tr>
      <w:tr>
        <w:trPr>
          <w:trHeight w:hRule="atLeast"/>
          <w:cantSplit w:val="true"/>
        </w:trPr>
        <w:tc>
          <w:tcPr>
            <w:tcW w:type="dxa" w:w="33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外出实际持续到 18:00 后</w:t>
            </w:r>
          </w:p>
        </w:tc>
        <w:tc>
          <w:tcPr>
            <w:tcW w:type="dxa" w:w="59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18:00 后不因外出单自动形成加班；仍需实际工作证据和在加班策略期限内提交的有效加班单（项目默认 48 小时）</w:t>
            </w:r>
          </w:p>
        </w:tc>
      </w:tr>
      <w:tr>
        <w:trPr>
          <w:trHeight w:hRule="atLeast"/>
          <w:cantSplit w:val="true"/>
        </w:trPr>
        <w:tc>
          <w:tcPr>
            <w:tcW w:type="dxa" w:w="33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出差双表要求</w:t>
            </w:r>
          </w:p>
        </w:tc>
        <w:tc>
          <w:tcPr>
            <w:tcW w:type="dxa" w:w="59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是否要求“出差申请 + 外出登记”两份单据可配置；启用时二者均有效且时间可关联才按出差覆盖，缺一进入异常</w:t>
            </w:r>
          </w:p>
        </w:tc>
      </w:tr>
      <w:tr>
        <w:trPr>
          <w:trHeight w:hRule="atLeast"/>
          <w:cantSplit w:val="true"/>
        </w:trPr>
        <w:tc>
          <w:tcPr>
            <w:tcW w:type="dxa" w:w="33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提前返岗</w:t>
            </w:r>
          </w:p>
        </w:tc>
        <w:tc>
          <w:tcPr>
            <w:tcW w:type="dxa" w:w="59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返岗打卡形成疑似返岗；已通过销假后缩短原单据、重算并冲销返还余额</w:t>
            </w:r>
          </w:p>
        </w:tc>
      </w:tr>
    </w:tbl>
    <w:p>
      <w:pPr>
        <w:spacing w:after="40"/>
      </w:pPr>
    </w:p>
    <w:p>
      <w:pPr>
        <w:pStyle w:val="Heading2"/>
        <w:keepNext/>
      </w:pPr>
      <w:r>
        <w:rPr>
          <w:rFonts w:ascii="PingFang SC" w:hAnsi="PingFang SC" w:eastAsia="PingFang SC" w:cs="PingFang SC"/>
        </w:rPr>
        <w:t>7.7 异常、调整与月结</w:t>
      </w:r>
    </w:p>
    <w:tbl>
      <w:tblPr>
        <w:tblStyle w:val="TableGrid"/>
        <w:tblW w:type="dxa" w:w="9360"/>
        <w:jc w:val="left"/>
        <w:tblLayout w:type="fixed"/>
        <w:tblLook w:firstColumn="1" w:firstRow="1" w:lastColumn="0" w:lastRow="0" w:noHBand="0" w:noVBand="1" w:val="04A0"/>
        <w:tblInd w:type="dxa" w:w="120"/>
      </w:tblPr>
      <w:tblGrid>
        <w:gridCol w:w="1800"/>
        <w:gridCol w:w="3816"/>
        <w:gridCol w:w="3744"/>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状态</w:t>
            </w:r>
          </w:p>
        </w:tc>
        <w:tc>
          <w:tcPr>
            <w:tcW w:type="dxa" w:w="381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允许操作</w:t>
            </w:r>
          </w:p>
        </w:tc>
        <w:tc>
          <w:tcPr>
            <w:tcW w:type="dxa" w:w="374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进入条件</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暂算</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自动重算、查看证据、员工补单/反馈</w:t>
            </w:r>
          </w:p>
        </w:tc>
        <w:tc>
          <w:tcPr>
            <w:tcW w:type="dxa" w:w="37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当日计划生成后至处理期限结束</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待处理</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审批单据、HR 裁定、批量分派</w:t>
            </w:r>
          </w:p>
        </w:tc>
        <w:tc>
          <w:tcPr>
            <w:tcW w:type="dxa" w:w="37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缺卡、冲突、人员未映射、班组缺失等</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已解决</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查看处理记录；开放月份可再次重算</w:t>
            </w:r>
          </w:p>
        </w:tc>
        <w:tc>
          <w:tcPr>
            <w:tcW w:type="dxa" w:w="37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有效单据、同步补数或人工裁定消除异常</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待月结</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全月重算、预检、复核</w:t>
            </w:r>
          </w:p>
        </w:tc>
        <w:tc>
          <w:tcPr>
            <w:tcW w:type="dxa" w:w="37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同步水位达标且阻断异常为 0</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已月结</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查询、报表、差异查看</w:t>
            </w:r>
          </w:p>
        </w:tc>
        <w:tc>
          <w:tcPr>
            <w:tcW w:type="dxa" w:w="37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授权人关闭并生成快照</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已反月结</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按原因重新开放并生成下一版本</w:t>
            </w:r>
          </w:p>
        </w:tc>
        <w:tc>
          <w:tcPr>
            <w:tcW w:type="dxa" w:w="37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主管授权且填写原因</w:t>
            </w:r>
          </w:p>
        </w:tc>
      </w:tr>
    </w:tbl>
    <w:p>
      <w:pPr>
        <w:spacing w:after="40"/>
      </w:pPr>
    </w:p>
    <w:p>
      <w:pPr>
        <w:pStyle w:val="Heading1"/>
        <w:keepNext/>
      </w:pPr>
      <w:r>
        <w:rPr>
          <w:rFonts w:ascii="PingFang SC" w:hAnsi="PingFang SC" w:eastAsia="PingFang SC" w:cs="PingFang SC"/>
        </w:rPr>
        <w:t>8. 假期、年假算法与期初工时台账</w:t>
      </w:r>
    </w:p>
    <w:p>
      <w:pPr>
        <w:pStyle w:val="Heading2"/>
        <w:keepNext/>
      </w:pPr>
      <w:r>
        <w:rPr>
          <w:rFonts w:ascii="PingFang SC" w:hAnsi="PingFang SC" w:eastAsia="PingFang SC" w:cs="PingFang SC"/>
        </w:rPr>
        <w:t>8.1 假别目录与申请单位</w:t>
      </w:r>
    </w:p>
    <w:tbl>
      <w:tblPr>
        <w:tblStyle w:val="TableGrid"/>
        <w:tblW w:type="dxa" w:w="9360"/>
        <w:jc w:val="left"/>
        <w:tblLayout w:type="fixed"/>
        <w:tblLook w:firstColumn="1" w:firstRow="1" w:lastColumn="0" w:lastRow="0" w:noHBand="0" w:noVBand="1" w:val="04A0"/>
        <w:tblInd w:type="dxa" w:w="120"/>
      </w:tblPr>
      <w:tblGrid>
        <w:gridCol w:w="2232"/>
        <w:gridCol w:w="3312"/>
        <w:gridCol w:w="3816"/>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假别/能力</w:t>
            </w:r>
          </w:p>
        </w:tc>
        <w:tc>
          <w:tcPr>
            <w:tcW w:type="dxa" w:w="331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初始模板</w:t>
            </w:r>
          </w:p>
        </w:tc>
        <w:tc>
          <w:tcPr>
            <w:tcW w:type="dxa" w:w="381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策略说明</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年假（客户口径）</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默认工作日；最小 0.5 天；本公司资格门槛 + 累计工龄档位</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周年发放、周年失效、二次入职重置和门槛均由年假策略配置</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病假</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默认工作日；最小 0.5 天</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按上午或下午实际计划工作段扣减；证明材料和补办期限可配置</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事假</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默认工作日；最小 0.5 小时</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以 30 分钟为默认最小值和递增单位，可按假别修改</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丧假</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默认工作日；配偶/子女/父母 3 天，兄弟姐妹/祖父母/外祖父母 1 天</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申请单选亲属关系；关系、额度和计日方式均可配置</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护理假</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默认工作日；初始额度 15 天</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可切换为自然日；适用条件、人群和证明材料由策略配置</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调休</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优先使用余额，余额不足不得申请</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按小时台账扣减，不自动转为其他假种</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孕检/哺乳</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可单独设置工作时间</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通过有有效期的特殊考勤班组/班次实现</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销假</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未休完提前返岗</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销假通过后缩短有效请假时段，重算并生成余额返还冲销流水</w:t>
            </w:r>
          </w:p>
        </w:tc>
      </w:tr>
    </w:tbl>
    <w:p>
      <w:pPr>
        <w:spacing w:after="40"/>
      </w:pPr>
    </w:p>
    <w:tbl>
      <w:tblPr>
        <w:tblStyle w:val="TableGrid"/>
        <w:tblW w:type="dxa" w:w="9360"/>
        <w:jc w:val="left"/>
        <w:tblLayout w:type="fixed"/>
        <w:tblLook w:firstColumn="1" w:firstRow="1" w:lastColumn="0" w:lastRow="0" w:noHBand="0" w:noVBand="1" w:val="04A0"/>
        <w:tblInd w:type="dxa" w:w="120"/>
      </w:tblPr>
      <w:tblGrid>
        <w:gridCol w:w="2232"/>
        <w:gridCol w:w="3816"/>
        <w:gridCol w:w="3312"/>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假别公共配置</w:t>
            </w:r>
          </w:p>
        </w:tc>
        <w:tc>
          <w:tcPr>
            <w:tcW w:type="dxa" w:w="381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默认值/选项</w:t>
            </w:r>
          </w:p>
        </w:tc>
        <w:tc>
          <w:tcPr>
            <w:tcW w:type="dxa" w:w="331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约束</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计量口径</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工作日（默认）/ 自然日 / 小时</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工作日只扣员工班组日历中的计划工作段；自然日连续包含休息日</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申请单位</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小时、0.5 天、1 天等；按假别配置最小值和递增步长</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半天按员工当日对应工作段扣减，不固定折算 4 小时</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额度与有效期</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固定、按周期发放、无余额控制；起止日和结转/失效规则</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余额类假别必须形成发放、使用、返还和失效流水</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资格与材料</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适用人员、司龄/年龄/亲属关系、附件、提前申请和紧急补办期限</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条件字段按最小权限展示，敏感附件不可进入普通报表</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冲突与优先级</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是否允许与出差/外出重叠、余额不足处理、销假方式</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不得静默覆盖另一张有效单据或自动改成其他假别</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版本生效</w:t>
            </w:r>
          </w:p>
        </w:tc>
        <w:tc>
          <w:tcPr>
            <w:tcW w:type="dxa" w:w="38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策略版本、生效日、失效日</w:t>
            </w:r>
          </w:p>
        </w:tc>
        <w:tc>
          <w:tcPr>
            <w:tcW w:type="dxa" w:w="33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新配置默认不追溯已月结结果；需重算时走授权流程</w:t>
            </w:r>
          </w:p>
        </w:tc>
      </w:tr>
    </w:tbl>
    <w:p>
      <w:pPr>
        <w:spacing w:after="40"/>
      </w:pPr>
    </w:p>
    <w:p>
      <w:pPr>
        <w:spacing w:after="120"/>
      </w:pPr>
      <w:r>
        <w:rPr>
          <w:rFonts w:ascii="PingFang SC" w:hAnsi="PingFang SC" w:eastAsia="PingFang SC" w:cs="PingFang SC"/>
          <w:i w:val="0"/>
          <w:color w:val="1F2937"/>
          <w:sz w:val="22"/>
        </w:rPr>
        <w:t>所有假别均由可发布、可版本化的假别策略驱动，系统新建假别时计量口径默认选择“工作日”，管理员可按制度改为自然日或小时。年假、调休余额不足时拒绝提交或提示拆分申请，不允许出现负余额，也不在员工不知情时自动改成事假。员工端可同时显示等价天数和小时数；等价天数默认按 8 小时展示，实际扣减仍按员工当日班次工作段。</w:t>
      </w:r>
    </w:p>
    <w:p>
      <w:pPr>
        <w:pStyle w:val="Heading2"/>
        <w:keepNext/>
      </w:pPr>
      <w:r>
        <w:rPr>
          <w:rFonts w:ascii="PingFang SC" w:hAnsi="PingFang SC" w:eastAsia="PingFang SC" w:cs="PingFang SC"/>
        </w:rPr>
        <w:t>8.2 年假策略、资格与额度算法</w:t>
      </w:r>
    </w:p>
    <w:p>
      <w:pPr>
        <w:spacing w:before="100" w:after="160" w:line="264" w:lineRule="auto"/>
        <w:shd w:fill="EAF6EF"/>
        <w:pBdr>
          <w:left w:val="single" w:sz="18" w:space="8" w:color="277A53"/>
        </w:pBdr>
        <w:ind w:left="160" w:right="160"/>
        <w:keepLines/>
      </w:pPr>
      <w:r>
        <w:rPr>
          <w:rFonts w:ascii="PingFang SC" w:hAnsi="PingFang SC" w:eastAsia="PingFang SC" w:cs="PingFang SC"/>
          <w:b/>
          <w:color w:val="277A53"/>
          <w:sz w:val="21"/>
        </w:rPr>
        <w:t xml:space="preserve">客户确认口径  </w:t>
      </w:r>
      <w:r>
        <w:rPr>
          <w:rFonts w:ascii="PingFang SC" w:hAnsi="PingFang SC" w:eastAsia="PingFang SC" w:cs="PingFang SC"/>
          <w:color w:val="1F2937"/>
          <w:sz w:val="21"/>
        </w:rPr>
        <w:t>默认年假分两步：先用本次连续任职的最新入职日期判断资格，本公司入职未满一个完整周年时为 0，不因公司外工龄提前获得资格；资格满足后，再按累计工龄确定 5/10/15 天档位。累计工龄包含本次本公司工龄和 HR 维护的既往累计工龄。资格门槛采用可配置策略，但本项目初始值为启用且 12 个完整日历月。</w:t>
      </w:r>
    </w:p>
    <w:tbl>
      <w:tblPr>
        <w:tblStyle w:val="TableGrid"/>
        <w:tblW w:type="dxa" w:w="9360"/>
        <w:jc w:val="left"/>
        <w:tblLayout w:type="fixed"/>
        <w:tblLook w:firstColumn="1" w:firstRow="1" w:lastColumn="0" w:lastRow="0" w:noHBand="0" w:noVBand="1" w:val="04A0"/>
        <w:tblInd w:type="dxa" w:w="120"/>
      </w:tblPr>
      <w:tblGrid>
        <w:gridCol w:w="2160"/>
        <w:gridCol w:w="3456"/>
        <w:gridCol w:w="3744"/>
      </w:tblGrid>
      <w:tr>
        <w:trPr>
          <w:tblHeader w:val="true"/>
          <w:cantSplit w:val="true"/>
        </w:trPr>
        <w:tc>
          <w:tcPr>
            <w:tcW w:type="dxa" w:w="216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年假策略参数</w:t>
            </w:r>
          </w:p>
        </w:tc>
        <w:tc>
          <w:tcPr>
            <w:tcW w:type="dxa" w:w="345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项目默认值</w:t>
            </w:r>
          </w:p>
        </w:tc>
        <w:tc>
          <w:tcPr>
            <w:tcW w:type="dxa" w:w="374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处理口径</w:t>
            </w:r>
          </w:p>
        </w:tc>
      </w:tr>
      <w:tr>
        <w:trPr>
          <w:trHeight w:hRule="atLeast"/>
          <w:cantSplit w:val="true"/>
        </w:trPr>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资格门槛</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启用；本次连续本公司工龄满 12 个完整日历月</w:t>
            </w:r>
          </w:p>
        </w:tc>
        <w:tc>
          <w:tcPr>
            <w:tcW w:type="dxa" w:w="37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开关和月数可配置；资格与累计工龄档位分别判断</w:t>
            </w:r>
          </w:p>
        </w:tc>
      </w:tr>
      <w:tr>
        <w:trPr>
          <w:trHeight w:hRule="atLeast"/>
          <w:cantSplit w:val="true"/>
        </w:trPr>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周期锚点</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最新入职日期</w:t>
            </w:r>
          </w:p>
        </w:tc>
        <w:tc>
          <w:tcPr>
            <w:tcW w:type="dxa" w:w="37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二次入职从新入职日重新计算资格、周年和本公司工龄；历史任职与流水保留</w:t>
            </w:r>
          </w:p>
        </w:tc>
      </w:tr>
      <w:tr>
        <w:trPr>
          <w:trHeight w:hRule="atLeast"/>
          <w:cantSplit w:val="true"/>
        </w:trPr>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发放时点</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入职周年日</w:t>
            </w:r>
          </w:p>
        </w:tc>
        <w:tc>
          <w:tcPr>
            <w:tcW w:type="dxa" w:w="37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周年日当天按当日累计工龄档位生成自动发放流水</w:t>
            </w:r>
          </w:p>
        </w:tc>
      </w:tr>
      <w:tr>
        <w:trPr>
          <w:trHeight w:hRule="atLeast"/>
          <w:cantSplit w:val="true"/>
        </w:trPr>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有效期</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发放日至下一周年日前一日</w:t>
            </w:r>
          </w:p>
        </w:tc>
        <w:tc>
          <w:tcPr>
            <w:tcW w:type="dxa" w:w="37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下一周年日先对上周期剩余量生成到期失效流水，再生成新周期发放</w:t>
            </w:r>
          </w:p>
        </w:tc>
      </w:tr>
      <w:tr>
        <w:trPr>
          <w:trHeight w:hRule="atLeast"/>
          <w:cantSplit w:val="true"/>
        </w:trPr>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档位变化</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下一个周年发放时按新档位</w:t>
            </w:r>
          </w:p>
        </w:tc>
        <w:tc>
          <w:tcPr>
            <w:tcW w:type="dxa" w:w="37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周期中途达到累计 10/20 年默认不补差；处理方式可配置</w:t>
            </w:r>
          </w:p>
        </w:tc>
      </w:tr>
      <w:tr>
        <w:trPr>
          <w:trHeight w:hRule="atLeast"/>
          <w:cantSplit w:val="true"/>
        </w:trPr>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累计工龄</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本次本公司工龄 + HR 维护的既往累计工龄月数</w:t>
            </w:r>
          </w:p>
        </w:tc>
        <w:tc>
          <w:tcPr>
            <w:tcW w:type="dxa" w:w="37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二次入职前的经历如需计入档位，由 HR 计入既往累计工龄；不用于突破默认本公司资格门槛</w:t>
            </w:r>
          </w:p>
        </w:tc>
      </w:tr>
      <w:tr>
        <w:trPr>
          <w:trHeight w:hRule="atLeast"/>
          <w:cantSplit w:val="true"/>
        </w:trPr>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闰日周年</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非闰年按 2 月 28 日</w:t>
            </w:r>
          </w:p>
        </w:tc>
        <w:tc>
          <w:tcPr>
            <w:tcW w:type="dxa" w:w="37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可配置为 3 月 1 日；同一策略版本内保持一致</w:t>
            </w:r>
          </w:p>
        </w:tc>
      </w:tr>
    </w:tbl>
    <w:p>
      <w:pPr>
        <w:spacing w:after="40"/>
      </w:pPr>
    </w:p>
    <w:tbl>
      <w:tblPr>
        <w:tblStyle w:val="TableGrid"/>
        <w:tblW w:type="dxa" w:w="9360"/>
        <w:jc w:val="left"/>
        <w:tblLayout w:type="fixed"/>
        <w:tblLook w:firstColumn="1" w:firstRow="1" w:lastColumn="0" w:lastRow="0" w:noHBand="0" w:noVBand="1" w:val="04A0"/>
        <w:tblInd w:type="dxa" w:w="120"/>
      </w:tblPr>
      <w:tblGrid>
        <w:gridCol w:w="3456"/>
        <w:gridCol w:w="1800"/>
        <w:gridCol w:w="1944"/>
        <w:gridCol w:w="2160"/>
      </w:tblGrid>
      <w:tr>
        <w:trPr>
          <w:tblHeader w:val="true"/>
          <w:cantSplit w:val="true"/>
        </w:trPr>
        <w:tc>
          <w:tcPr>
            <w:tcW w:type="dxa" w:w="345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资格与累计工龄</w:t>
            </w:r>
          </w:p>
        </w:tc>
        <w:tc>
          <w:tcPr>
            <w:tcW w:type="dxa" w:w="180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年假天数</w:t>
            </w:r>
          </w:p>
        </w:tc>
        <w:tc>
          <w:tcPr>
            <w:tcW w:type="dxa" w:w="194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年假小时</w:t>
            </w:r>
          </w:p>
        </w:tc>
        <w:tc>
          <w:tcPr>
            <w:tcW w:type="dxa" w:w="216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区间</w:t>
            </w:r>
          </w:p>
        </w:tc>
      </w:tr>
      <w:tr>
        <w:trPr>
          <w:trHeight w:hRule="atLeast"/>
          <w:cantSplit w:val="true"/>
        </w:trPr>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本公司入职不足 1 年（无论累计工龄）</w:t>
            </w:r>
          </w:p>
        </w:tc>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0</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0</w:t>
            </w:r>
          </w:p>
        </w:tc>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资格未满足</w:t>
            </w:r>
          </w:p>
        </w:tc>
      </w:tr>
      <w:tr>
        <w:trPr>
          <w:trHeight w:hRule="atLeast"/>
          <w:cantSplit w:val="true"/>
        </w:trPr>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资格门槛关闭/已满足；累计工龄不足 1 年</w:t>
            </w:r>
          </w:p>
        </w:tc>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0</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0</w:t>
            </w:r>
          </w:p>
        </w:tc>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档位未满足</w:t>
            </w:r>
          </w:p>
        </w:tc>
      </w:tr>
      <w:tr>
        <w:trPr>
          <w:trHeight w:hRule="atLeast"/>
          <w:cantSplit w:val="true"/>
        </w:trPr>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本公司满 1 年；累计工龄满 1 年不足 10 年</w:t>
            </w:r>
          </w:p>
        </w:tc>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5</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40</w:t>
            </w:r>
          </w:p>
        </w:tc>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[1,10)</w:t>
            </w:r>
          </w:p>
        </w:tc>
      </w:tr>
      <w:tr>
        <w:trPr>
          <w:trHeight w:hRule="atLeast"/>
          <w:cantSplit w:val="true"/>
        </w:trPr>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本公司满 1 年；累计工龄满 10 年不足 20 年</w:t>
            </w:r>
          </w:p>
        </w:tc>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10</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80</w:t>
            </w:r>
          </w:p>
        </w:tc>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[10,20)</w:t>
            </w:r>
          </w:p>
        </w:tc>
      </w:tr>
      <w:tr>
        <w:trPr>
          <w:trHeight w:hRule="atLeast"/>
          <w:cantSplit w:val="true"/>
        </w:trPr>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本公司满 1 年；累计工龄满 20 年</w:t>
            </w:r>
          </w:p>
        </w:tc>
        <w:tc>
          <w:tcPr>
            <w:tcW w:type="dxa" w:w="18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15</w:t>
            </w:r>
          </w:p>
        </w:tc>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120</w:t>
            </w:r>
          </w:p>
        </w:tc>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8"/>
              </w:rPr>
              <w:t>[20,+∞)</w:t>
            </w:r>
          </w:p>
        </w:tc>
      </w:tr>
    </w:tbl>
    <w:p>
      <w:pPr>
        <w:spacing w:after="40"/>
      </w:pPr>
    </w:p>
    <w:p>
      <w:pPr>
        <w:spacing w:after="120"/>
      </w:pPr>
      <w:r>
        <w:rPr>
          <w:rFonts w:ascii="PingFang SC" w:hAnsi="PingFang SC" w:eastAsia="PingFang SC" w:cs="PingFang SC"/>
          <w:i w:val="0"/>
          <w:color w:val="1F2937"/>
          <w:sz w:val="22"/>
        </w:rPr>
        <w:t>本公司已完成工龄月数必须根据当前任职周期的最新入职日期与计算日期，按完整日历月计算；累计工龄月数 = 本次本公司已完成工龄月数 + HR 维护的既往累计工龄月数。既往累计工龄可包含公司外工龄，也可包含制度认可的前次任职经历；系统保存来源备注但不自行审核证明材料。计算日期早于最新入职日期，或既往累计月数小于 0 时返回数据校验错误。</w:t>
      </w:r>
    </w:p>
    <w:tbl>
      <w:tblPr>
        <w:tblStyle w:val="TableGrid"/>
        <w:tblW w:type="dxa" w:w="9360"/>
        <w:jc w:val="left"/>
        <w:tblLayout w:type="fixed"/>
        <w:tblLook w:firstColumn="1" w:firstRow="1" w:lastColumn="0" w:lastRow="0" w:noHBand="0" w:noVBand="1" w:val="04A0"/>
        <w:tblInd w:type="dxa" w:w="120"/>
      </w:tblPr>
      <w:tblGrid>
        <w:gridCol w:w="1080"/>
        <w:gridCol w:w="8280"/>
      </w:tblGrid>
      <w:tr>
        <w:trPr>
          <w:tblHeader w:val="true"/>
          <w:cantSplit w:val="true"/>
        </w:trPr>
        <w:tc>
          <w:tcPr>
            <w:tcW w:type="dxa" w:w="108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步骤</w:t>
            </w:r>
          </w:p>
        </w:tc>
        <w:tc>
          <w:tcPr>
            <w:tcW w:type="dxa" w:w="828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算法</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1</w:t>
            </w:r>
          </w:p>
        </w:tc>
        <w:tc>
          <w:tcPr>
            <w:tcW w:type="dxa" w:w="82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按日历周年/月计算本公司已完成工龄，不使用 days/365</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2</w:t>
            </w:r>
          </w:p>
        </w:tc>
        <w:tc>
          <w:tcPr>
            <w:tcW w:type="dxa" w:w="82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读取生效的年假策略；默认资格门槛启用且本公司已完成工龄 &lt;12 个月时，立即返回 0 天 / 0 小时</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3</w:t>
            </w:r>
          </w:p>
        </w:tc>
        <w:tc>
          <w:tcPr>
            <w:tcW w:type="dxa" w:w="82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累计工龄月数 = 本次本公司已完成工龄月数 + HR 维护的既往累计工龄月数</w:t>
            </w:r>
          </w:p>
        </w:tc>
      </w:tr>
      <w:tr>
        <w:trPr>
          <w:trHeight w:hRule="atLeast"/>
          <w:cantSplit w:val="true"/>
        </w:trPr>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4</w:t>
            </w:r>
          </w:p>
        </w:tc>
        <w:tc>
          <w:tcPr>
            <w:tcW w:type="dxa" w:w="82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累计 &lt;12 个月返回 0；[12,120) 个月返回 5 天/40 小时；[120,240) 个月返回 10 天/80 小时；&gt;=240 个月返回 15 天/120 小时</w:t>
            </w:r>
          </w:p>
        </w:tc>
      </w:tr>
    </w:tbl>
    <w:p>
      <w:pPr>
        <w:spacing w:after="40"/>
      </w:pPr>
    </w:p>
    <w:p>
      <w:pPr>
        <w:spacing w:after="120"/>
      </w:pPr>
      <w:r>
        <w:rPr>
          <w:rFonts w:ascii="PingFang SC" w:hAnsi="PingFang SC" w:eastAsia="PingFang SC" w:cs="PingFang SC"/>
          <w:i w:val="0"/>
          <w:color w:val="1F2937"/>
          <w:sz w:val="22"/>
        </w:rPr>
        <w:t>默认按最新入职日期的周年日发放：第 1 个周年日读取当日累计工龄档位并发放 40/80/120 小时；本周期有效至下一周年日前一日。累计工龄在周期中途达到 10/20 年时不即时补差，在下一个周年发放日按新档位发放。二次入职关闭原任职周期，以新入职日重新计算资格和周年；历史余额按离职策略处理，不改写历史流水。</w:t>
      </w:r>
    </w:p>
    <w:tbl>
      <w:tblPr>
        <w:tblStyle w:val="TableGrid"/>
        <w:tblW w:type="dxa" w:w="9360"/>
        <w:jc w:val="left"/>
        <w:tblLayout w:type="fixed"/>
        <w:tblLook w:firstColumn="1" w:firstRow="1" w:lastColumn="0" w:lastRow="0" w:noHBand="0" w:noVBand="1" w:val="04A0"/>
        <w:tblInd w:type="dxa" w:w="120"/>
      </w:tblPr>
      <w:tblGrid>
        <w:gridCol w:w="3168"/>
        <w:gridCol w:w="6192"/>
      </w:tblGrid>
      <w:tr>
        <w:trPr>
          <w:tblHeader w:val="true"/>
          <w:cantSplit w:val="true"/>
        </w:trPr>
        <w:tc>
          <w:tcPr>
            <w:tcW w:type="dxa" w:w="316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原 Python 问题</w:t>
            </w:r>
          </w:p>
        </w:tc>
        <w:tc>
          <w:tcPr>
            <w:tcW w:type="dxa" w:w="619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产品修正</w:t>
            </w:r>
          </w:p>
        </w:tc>
      </w:tr>
      <w:tr>
        <w:trPr>
          <w:trHeight w:hRule="atLeast"/>
          <w:cantSplit w:val="true"/>
        </w:trPr>
        <w:tc>
          <w:tcPr>
            <w:tcW w:type="dxa" w:w="31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days_employed &lt;365</w:t>
            </w:r>
          </w:p>
        </w:tc>
        <w:tc>
          <w:tcPr>
            <w:tcW w:type="dxa" w:w="61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闰年会在周年日前错误达标；改为完整周年比较</w:t>
            </w:r>
          </w:p>
        </w:tc>
      </w:tr>
      <w:tr>
        <w:trPr>
          <w:trHeight w:hRule="atLeast"/>
          <w:cantSplit w:val="true"/>
        </w:trPr>
        <w:tc>
          <w:tcPr>
            <w:tcW w:type="dxa" w:w="31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internal_service_years 单独传入</w:t>
            </w:r>
          </w:p>
        </w:tc>
        <w:tc>
          <w:tcPr>
            <w:tcW w:type="dxa" w:w="61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可能与 entry_date 矛盾；本公司工龄改由当前任职周期的最新入职日期推导</w:t>
            </w:r>
          </w:p>
        </w:tc>
      </w:tr>
      <w:tr>
        <w:trPr>
          <w:trHeight w:hRule="atLeast"/>
          <w:cantSplit w:val="true"/>
        </w:trPr>
        <w:tc>
          <w:tcPr>
            <w:tcW w:type="dxa" w:w="31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internal + external 直接相加</w:t>
            </w:r>
          </w:p>
        </w:tc>
        <w:tc>
          <w:tcPr>
            <w:tcW w:type="dxa" w:w="61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概念方向正确；统一改用“本次本公司已完成月数 + HR 维护的既往累计月数”，兼容二次入职并避免小数年和日期边界歧义</w:t>
            </w:r>
          </w:p>
        </w:tc>
      </w:tr>
      <w:tr>
        <w:trPr>
          <w:trHeight w:hRule="atLeast"/>
          <w:cantSplit w:val="true"/>
        </w:trPr>
        <w:tc>
          <w:tcPr>
            <w:tcW w:type="dxa" w:w="31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资格与档位混在一个判断</w:t>
            </w:r>
          </w:p>
        </w:tc>
        <w:tc>
          <w:tcPr>
            <w:tcW w:type="dxa" w:w="61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先判断本公司是否满 1 年，再用累计工龄判断 5/10/15 天</w:t>
            </w:r>
          </w:p>
        </w:tc>
      </w:tr>
      <w:tr>
        <w:trPr>
          <w:trHeight w:hRule="atLeast"/>
          <w:cantSplit w:val="true"/>
        </w:trPr>
        <w:tc>
          <w:tcPr>
            <w:tcW w:type="dxa" w:w="316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工龄为 0 时落入 else</w:t>
            </w:r>
          </w:p>
        </w:tc>
        <w:tc>
          <w:tcPr>
            <w:tcW w:type="dxa" w:w="61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原代码可能错误返回 15 天；改为从小到大完整覆盖区间</w:t>
            </w:r>
          </w:p>
        </w:tc>
      </w:tr>
    </w:tbl>
    <w:p>
      <w:pPr>
        <w:spacing w:after="40"/>
      </w:pPr>
    </w:p>
    <w:p>
      <w:pPr>
        <w:pStyle w:val="Heading2"/>
        <w:keepNext/>
      </w:pPr>
      <w:r>
        <w:rPr>
          <w:rFonts w:ascii="PingFang SC" w:hAnsi="PingFang SC" w:eastAsia="PingFang SC" w:cs="PingFang SC"/>
        </w:rPr>
        <w:t>8.3 年假合规提示</w:t>
      </w:r>
    </w:p>
    <w:p>
      <w:pPr>
        <w:spacing w:before="100" w:after="160" w:line="264" w:lineRule="auto"/>
        <w:shd w:fill="FDECEC"/>
        <w:pBdr>
          <w:left w:val="single" w:sz="18" w:space="8" w:color="9B1C1C"/>
        </w:pBdr>
        <w:ind w:left="160" w:right="160"/>
        <w:keepLines/>
      </w:pPr>
      <w:r>
        <w:rPr>
          <w:rFonts w:ascii="PingFang SC" w:hAnsi="PingFang SC" w:eastAsia="PingFang SC" w:cs="PingFang SC"/>
          <w:b/>
          <w:color w:val="9B1C1C"/>
          <w:sz w:val="21"/>
        </w:rPr>
        <w:t xml:space="preserve">上线风险  </w:t>
      </w:r>
      <w:r>
        <w:rPr>
          <w:rFonts w:ascii="PingFang SC" w:hAnsi="PingFang SC" w:eastAsia="PingFang SC" w:cs="PingFang SC"/>
          <w:color w:val="1F2937"/>
          <w:sz w:val="21"/>
        </w:rPr>
        <w:t>本版已按累计工龄确定 5/10/15 天档位，并把“必须先在本公司满 1 年”的资格门槛实现为版本化配置。该客户默认门槛可能比法规关于连续工作满 12 个月的认定更严格，客户 HR/法务仍应书面确认启用范围和员工制度文本。系统提供配置能力不代表对制度合规性的法律判断。</w:t>
      </w:r>
    </w:p>
    <w:p>
      <w:pPr>
        <w:pStyle w:val="Heading2"/>
        <w:keepNext/>
      </w:pPr>
      <w:r>
        <w:rPr>
          <w:rFonts w:ascii="PingFang SC" w:hAnsi="PingFang SC" w:eastAsia="PingFang SC" w:cs="PingFang SC"/>
        </w:rPr>
        <w:t>8.4 时间账户与余额公式</w:t>
      </w:r>
    </w:p>
    <w:p>
      <w:pPr>
        <w:spacing w:after="120"/>
      </w:pPr>
      <w:r>
        <w:rPr>
          <w:rFonts w:ascii="PingFang SC" w:hAnsi="PingFang SC" w:eastAsia="PingFang SC" w:cs="PingFang SC"/>
          <w:i w:val="0"/>
          <w:color w:val="1F2937"/>
          <w:sz w:val="22"/>
        </w:rPr>
        <w:t>所有余额以小时为内部单位，由不可变流水汇总：</w:t>
      </w:r>
    </w:p>
    <w:p>
      <w:pPr>
        <w:spacing w:before="100" w:after="160" w:line="264" w:lineRule="auto"/>
        <w:shd w:fill="F5F9FC"/>
        <w:pBdr>
          <w:left w:val="single" w:sz="18" w:space="8" w:color="2E74B5"/>
        </w:pBdr>
        <w:ind w:left="160" w:right="160"/>
        <w:keepLines/>
      </w:pPr>
      <w:r>
        <w:rPr>
          <w:rFonts w:ascii="PingFang SC" w:hAnsi="PingFang SC" w:eastAsia="PingFang SC" w:cs="PingFang SC"/>
          <w:b/>
          <w:color w:val="2E74B5"/>
          <w:sz w:val="21"/>
        </w:rPr>
        <w:t xml:space="preserve">余额公式  </w:t>
      </w:r>
      <w:r>
        <w:rPr>
          <w:rFonts w:ascii="PingFang SC" w:hAnsi="PingFang SC" w:eastAsia="PingFang SC" w:cs="PingFang SC"/>
          <w:color w:val="1F2937"/>
          <w:sz w:val="21"/>
        </w:rPr>
        <w:t>当前余额 = 期初导入 + 系统发放 + 加班转入 + 人工增加 - 请假/调休使用 - 到期失效 + 销假/撤销返还 - 人工扣减。</w:t>
      </w:r>
    </w:p>
    <w:tbl>
      <w:tblPr>
        <w:tblStyle w:val="TableGrid"/>
        <w:tblW w:type="dxa" w:w="9360"/>
        <w:jc w:val="left"/>
        <w:tblLayout w:type="fixed"/>
        <w:tblLook w:firstColumn="1" w:firstRow="1" w:lastColumn="0" w:lastRow="0" w:noHBand="0" w:noVBand="1" w:val="04A0"/>
        <w:tblInd w:type="dxa" w:w="120"/>
      </w:tblPr>
      <w:tblGrid>
        <w:gridCol w:w="2592"/>
        <w:gridCol w:w="1656"/>
        <w:gridCol w:w="5112"/>
      </w:tblGrid>
      <w:tr>
        <w:trPr>
          <w:tblHeader w:val="true"/>
          <w:cantSplit w:val="true"/>
        </w:trPr>
        <w:tc>
          <w:tcPr>
            <w:tcW w:type="dxa" w:w="259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流水类型</w:t>
            </w:r>
          </w:p>
        </w:tc>
        <w:tc>
          <w:tcPr>
            <w:tcW w:type="dxa" w:w="165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正负方向</w:t>
            </w:r>
          </w:p>
        </w:tc>
        <w:tc>
          <w:tcPr>
            <w:tcW w:type="dxa" w:w="511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必须引用</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期初导入</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导入批次、Sheet/行号、截止日期</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系统发放</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假期策略版本、发放周期</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加班转入</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认可加班时段、补偿方式</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请假/调休使用</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已通过申请单及实际扣减工作段</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销假/撤销返还</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原使用流水、销假/撤销单</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人工调整</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操作人、审批/授权、原因</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到期失效</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到期策略、失效日期</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冲销</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反向</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被冲销流水，禁止删除原记录</w:t>
            </w:r>
          </w:p>
        </w:tc>
      </w:tr>
    </w:tbl>
    <w:p>
      <w:pPr>
        <w:spacing w:after="40"/>
      </w:pPr>
    </w:p>
    <w:p>
      <w:pPr>
        <w:pStyle w:val="Heading2"/>
        <w:keepNext/>
      </w:pPr>
      <w:r>
        <w:rPr>
          <w:rFonts w:ascii="PingFang SC" w:hAnsi="PingFang SC" w:eastAsia="PingFang SC" w:cs="PingFang SC"/>
        </w:rPr>
        <w:t>8.5 员工期初工时 Excel 导入（FR-02）</w:t>
      </w:r>
    </w:p>
    <w:tbl>
      <w:tblPr>
        <w:tblStyle w:val="TableGrid"/>
        <w:tblW w:type="dxa" w:w="9360"/>
        <w:jc w:val="left"/>
        <w:tblLayout w:type="fixed"/>
        <w:tblLook w:firstColumn="1" w:firstRow="1" w:lastColumn="0" w:lastRow="0" w:noHBand="0" w:noVBand="1" w:val="04A0"/>
        <w:tblInd w:type="dxa" w:w="120"/>
      </w:tblPr>
      <w:tblGrid>
        <w:gridCol w:w="2592"/>
        <w:gridCol w:w="1080"/>
        <w:gridCol w:w="5688"/>
      </w:tblGrid>
      <w:tr>
        <w:trPr>
          <w:tblHeader w:val="true"/>
          <w:cantSplit w:val="true"/>
        </w:trPr>
        <w:tc>
          <w:tcPr>
            <w:tcW w:type="dxa" w:w="259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字段</w:t>
            </w:r>
          </w:p>
        </w:tc>
        <w:tc>
          <w:tcPr>
            <w:tcW w:type="dxa" w:w="108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必填</w:t>
            </w:r>
          </w:p>
        </w:tc>
        <w:tc>
          <w:tcPr>
            <w:tcW w:type="dxa" w:w="568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规则</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batch_no</w:t>
            </w:r>
          </w:p>
        </w:tc>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是</w:t>
            </w:r>
          </w:p>
        </w:tc>
        <w:tc>
          <w:tcPr>
            <w:tcW w:type="dxa" w:w="56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业务批次号；与文件哈希共同防重复</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employee_no</w:t>
            </w:r>
          </w:p>
        </w:tc>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是</w:t>
            </w:r>
          </w:p>
        </w:tc>
        <w:tc>
          <w:tcPr>
            <w:tcW w:type="dxa" w:w="56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唯一匹配员工；不存在则报错</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employee_name</w:t>
            </w:r>
          </w:p>
        </w:tc>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否</w:t>
            </w:r>
          </w:p>
        </w:tc>
        <w:tc>
          <w:tcPr>
            <w:tcW w:type="dxa" w:w="56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仅核对，不作为匹配键；不一致时警告</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account_type</w:t>
            </w:r>
          </w:p>
        </w:tc>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是</w:t>
            </w:r>
          </w:p>
        </w:tc>
        <w:tc>
          <w:tcPr>
            <w:tcW w:type="dxa" w:w="56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ANNUAL_LEAVE、COMP_TIME、RECOGNIZED_OVERTIME 或已发布的其他工时账户</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opening_hours</w:t>
            </w:r>
          </w:p>
        </w:tc>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是</w:t>
            </w:r>
          </w:p>
        </w:tc>
        <w:tc>
          <w:tcPr>
            <w:tcW w:type="dxa" w:w="56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&gt;=0，最多 2 位小数；统一为小时</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balance_as_of</w:t>
            </w:r>
          </w:p>
        </w:tc>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是</w:t>
            </w:r>
          </w:p>
        </w:tc>
        <w:tc>
          <w:tcPr>
            <w:tcW w:type="dxa" w:w="56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期初余额截止日期/系统切换日</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valid_until</w:t>
            </w:r>
          </w:p>
        </w:tc>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否</w:t>
            </w:r>
          </w:p>
        </w:tc>
        <w:tc>
          <w:tcPr>
            <w:tcW w:type="dxa" w:w="56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为空表示按账户策略；填写时不得早于截止日期</w:t>
            </w:r>
          </w:p>
        </w:tc>
      </w:tr>
      <w:tr>
        <w:trPr>
          <w:trHeight w:hRule="atLeast"/>
          <w:cantSplit w:val="true"/>
        </w:trPr>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source_remark</w:t>
            </w:r>
          </w:p>
        </w:tc>
        <w:tc>
          <w:tcPr>
            <w:tcW w:type="dxa" w:w="10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是</w:t>
            </w:r>
          </w:p>
        </w:tc>
        <w:tc>
          <w:tcPr>
            <w:tcW w:type="dxa" w:w="56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来源说明或备注，便于审计</w:t>
            </w:r>
          </w:p>
        </w:tc>
      </w:tr>
    </w:tbl>
    <w:p>
      <w:pPr>
        <w:spacing w:after="40"/>
      </w:pPr>
    </w:p>
    <w:p>
      <w:pPr>
        <w:pStyle w:val="ListBullet"/>
        <w:spacing w:after="80" w:line="280" w:lineRule="auto"/>
      </w:pPr>
      <w:r>
        <w:rPr>
          <w:rFonts w:ascii="PingFang SC" w:hAnsi="PingFang SC" w:eastAsia="PingFang SC" w:cs="PingFang SC"/>
          <w:color w:val="1F2937"/>
          <w:sz w:val="22"/>
        </w:rPr>
        <w:t>上传后先预校验并展示导入前余额、拟导入值、导入后余额和差额；存在错误时整批不发布。</w:t>
      </w:r>
    </w:p>
    <w:p>
      <w:pPr>
        <w:pStyle w:val="ListBullet"/>
        <w:spacing w:after="80" w:line="280" w:lineRule="auto"/>
      </w:pPr>
      <w:r>
        <w:rPr>
          <w:rFonts w:ascii="PingFang SC" w:hAnsi="PingFang SC" w:eastAsia="PingFang SC" w:cs="PingFang SC"/>
          <w:color w:val="1F2937"/>
          <w:sz w:val="22"/>
        </w:rPr>
        <w:t>幂等键为 batch_no + employee_no + account_type + balance_as_of；相同批次重复上传不得重复入账。</w:t>
      </w:r>
    </w:p>
    <w:p>
      <w:pPr>
        <w:pStyle w:val="ListBullet"/>
        <w:spacing w:after="80" w:line="280" w:lineRule="auto"/>
      </w:pPr>
      <w:r>
        <w:rPr>
          <w:rFonts w:ascii="PingFang SC" w:hAnsi="PingFang SC" w:eastAsia="PingFang SC" w:cs="PingFang SC"/>
          <w:color w:val="1F2937"/>
          <w:sz w:val="22"/>
        </w:rPr>
        <w:t>发布后每行生成“期初导入”流水。未发生消费的批次可整批撤销；已被消费时只能生成反向冲销流水。</w:t>
      </w:r>
    </w:p>
    <w:p>
      <w:pPr>
        <w:pStyle w:val="ListBullet"/>
        <w:spacing w:after="80" w:line="280" w:lineRule="auto"/>
      </w:pPr>
      <w:r>
        <w:rPr>
          <w:rFonts w:ascii="PingFang SC" w:hAnsi="PingFang SC" w:eastAsia="PingFang SC" w:cs="PingFang SC"/>
          <w:color w:val="1F2937"/>
          <w:sz w:val="22"/>
        </w:rPr>
        <w:t>期初余额不改变任职周期、最新入职日期、既往累计工龄月数或年假资格。切换日前已包含在期初值中的系统发放不得再次叠加。</w:t>
      </w:r>
    </w:p>
    <w:p>
      <w:pPr>
        <w:pStyle w:val="ListBullet"/>
        <w:spacing w:after="80" w:line="280" w:lineRule="auto"/>
      </w:pPr>
      <w:r>
        <w:rPr>
          <w:rFonts w:ascii="PingFang SC" w:hAnsi="PingFang SC" w:eastAsia="PingFang SC" w:cs="PingFang SC"/>
          <w:color w:val="1F2937"/>
          <w:sz w:val="22"/>
        </w:rPr>
        <w:t>导入结果输出成功人数、账户数、总小时、失败数和错误明细文件。</w:t>
      </w:r>
    </w:p>
    <w:p>
      <w:pPr>
        <w:pStyle w:val="Heading1"/>
        <w:keepNext/>
      </w:pPr>
      <w:r>
        <w:rPr>
          <w:rFonts w:ascii="PingFang SC" w:hAnsi="PingFang SC" w:eastAsia="PingFang SC" w:cs="PingFang SC"/>
        </w:rPr>
        <w:t>9. 管理后台、员工端、看板与报表</w:t>
      </w:r>
    </w:p>
    <w:p>
      <w:pPr>
        <w:pStyle w:val="Heading2"/>
        <w:keepNext/>
      </w:pPr>
      <w:r>
        <w:rPr>
          <w:rFonts w:ascii="PingFang SC" w:hAnsi="PingFang SC" w:eastAsia="PingFang SC" w:cs="PingFang SC"/>
        </w:rPr>
        <w:t>9.1 管理后台页面</w:t>
      </w:r>
    </w:p>
    <w:tbl>
      <w:tblPr>
        <w:tblStyle w:val="TableGrid"/>
        <w:tblW w:type="dxa" w:w="9360"/>
        <w:jc w:val="left"/>
        <w:tblLayout w:type="fixed"/>
        <w:tblLook w:firstColumn="1" w:firstRow="1" w:lastColumn="0" w:lastRow="0" w:noHBand="0" w:noVBand="1" w:val="04A0"/>
        <w:tblInd w:type="dxa" w:w="120"/>
      </w:tblPr>
      <w:tblGrid>
        <w:gridCol w:w="1944"/>
        <w:gridCol w:w="4464"/>
        <w:gridCol w:w="2952"/>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页面</w:t>
            </w:r>
          </w:p>
        </w:tc>
        <w:tc>
          <w:tcPr>
            <w:tcW w:type="dxa" w:w="446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关键区域</w:t>
            </w:r>
          </w:p>
        </w:tc>
        <w:tc>
          <w:tcPr>
            <w:tcW w:type="dxa" w:w="295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主要操作</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首页</w:t>
            </w:r>
          </w:p>
        </w:tc>
        <w:tc>
          <w:tcPr>
            <w:tcW w:type="dxa" w:w="446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同步健康、今日出勤、异常数、待月结月份、数据截至时间</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查看问题、跳转工作台</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组织与员工</w:t>
            </w:r>
          </w:p>
        </w:tc>
        <w:tc>
          <w:tcPr>
            <w:tcW w:type="dxa" w:w="446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组织树、岗位、花名册、任职/班组</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导入、新增、调动、停用、查看历史</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考勤设置</w:t>
            </w:r>
          </w:p>
        </w:tc>
        <w:tc>
          <w:tcPr>
            <w:tcW w:type="dxa" w:w="446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班组、季节班次版本、日历、地点、迟到豁免、缺卡逾期、餐扣和规则预览</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草稿、校验、发布、生效期变更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数据中心</w:t>
            </w:r>
          </w:p>
        </w:tc>
        <w:tc>
          <w:tcPr>
            <w:tcW w:type="dxa" w:w="446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得力/OA 任务、批次、水位、错误</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手动重试、查看隔离记录，不提供组织同步</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异常工作台</w:t>
            </w:r>
          </w:p>
        </w:tc>
        <w:tc>
          <w:tcPr>
            <w:tcW w:type="dxa" w:w="446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按原因、部门、班组、日期和状态筛选</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查看证据、分派、调整、重算、批量提醒</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月结中心</w:t>
            </w:r>
          </w:p>
        </w:tc>
        <w:tc>
          <w:tcPr>
            <w:tcW w:type="dxa" w:w="446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预检项、差异、版本、关闭记录</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全量重算、关闭、授权反月结</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假期与工时</w:t>
            </w:r>
          </w:p>
        </w:tc>
        <w:tc>
          <w:tcPr>
            <w:tcW w:type="dxa" w:w="446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假别策略、年假策略、余额、流水、到期、期初批次</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配置、发布、导入、调整、冲销、查看变动</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统计报表</w:t>
            </w:r>
          </w:p>
        </w:tc>
        <w:tc>
          <w:tcPr>
            <w:tcW w:type="dxa" w:w="446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日报、周报、月报、部门/班组汇总</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筛选、下钻、受控导出</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账号与安全</w:t>
            </w:r>
          </w:p>
        </w:tc>
        <w:tc>
          <w:tcPr>
            <w:tcW w:type="dxa" w:w="446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本地账号、密码策略、失败锁定、会话和安全日志</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创建、停用、重置密码、强制退出</w:t>
            </w:r>
          </w:p>
        </w:tc>
      </w:tr>
    </w:tbl>
    <w:p>
      <w:pPr>
        <w:spacing w:after="40"/>
      </w:pPr>
    </w:p>
    <w:p>
      <w:pPr>
        <w:pStyle w:val="Heading2"/>
        <w:keepNext/>
      </w:pPr>
      <w:r>
        <w:rPr>
          <w:rFonts w:ascii="PingFang SC" w:hAnsi="PingFang SC" w:eastAsia="PingFang SC" w:cs="PingFang SC"/>
        </w:rPr>
        <w:t>9.2 员工响应式页面</w:t>
      </w:r>
    </w:p>
    <w:p>
      <w:pPr>
        <w:pStyle w:val="ListBullet"/>
        <w:spacing w:after="80" w:line="280" w:lineRule="auto"/>
      </w:pPr>
      <w:r>
        <w:rPr>
          <w:rFonts w:ascii="PingFang SC" w:hAnsi="PingFang SC" w:eastAsia="PingFang SC" w:cs="PingFang SC"/>
          <w:color w:val="1F2937"/>
          <w:sz w:val="22"/>
        </w:rPr>
        <w:t>今日：当日班次、首次/末次有效打卡、暂算状态、异常提示和数据截至时间。</w:t>
      </w:r>
    </w:p>
    <w:p>
      <w:pPr>
        <w:pStyle w:val="ListBullet"/>
        <w:spacing w:after="80" w:line="280" w:lineRule="auto"/>
      </w:pPr>
      <w:r>
        <w:rPr>
          <w:rFonts w:ascii="PingFang SC" w:hAnsi="PingFang SC" w:eastAsia="PingFang SC" w:cs="PingFang SC"/>
          <w:color w:val="1F2937"/>
          <w:sz w:val="22"/>
        </w:rPr>
        <w:t>我的考勤：日历、日明细、每日及每周工时、迟到/早退/缺卡/加班标签和证据说明。</w:t>
      </w:r>
    </w:p>
    <w:p>
      <w:pPr>
        <w:pStyle w:val="ListBullet"/>
        <w:spacing w:after="80" w:line="280" w:lineRule="auto"/>
      </w:pPr>
      <w:r>
        <w:rPr>
          <w:rFonts w:ascii="PingFang SC" w:hAnsi="PingFang SC" w:eastAsia="PingFang SC" w:cs="PingFang SC"/>
          <w:color w:val="1F2937"/>
          <w:sz w:val="22"/>
        </w:rPr>
        <w:t>我的假期：各账户已发放、期初、已用、剩余、到期日和流水；年假同时显示小时和 8 小时制等价天数。</w:t>
      </w:r>
    </w:p>
    <w:p>
      <w:pPr>
        <w:pStyle w:val="ListBullet"/>
        <w:spacing w:after="80" w:line="280" w:lineRule="auto"/>
      </w:pPr>
      <w:r>
        <w:rPr>
          <w:rFonts w:ascii="PingFang SC" w:hAnsi="PingFang SC" w:eastAsia="PingFang SC" w:cs="PingFang SC"/>
          <w:color w:val="1F2937"/>
          <w:sz w:val="22"/>
        </w:rPr>
        <w:t>签到排行：查看当天经单独发布的名次、展示名和允许的时间粒度；支持纯文本留言、回复、举报和本人删除。</w:t>
      </w:r>
    </w:p>
    <w:p>
      <w:pPr>
        <w:pStyle w:val="ListBullet"/>
        <w:spacing w:after="80" w:line="280" w:lineRule="auto"/>
      </w:pPr>
      <w:r>
        <w:rPr>
          <w:rFonts w:ascii="PingFang SC" w:hAnsi="PingFang SC" w:eastAsia="PingFang SC" w:cs="PingFang SC"/>
          <w:color w:val="1F2937"/>
          <w:sz w:val="22"/>
        </w:rPr>
        <w:t>制度中心：查看当前适用的考勤、加班和请假制度；支持搜索和版本生效日期。</w:t>
      </w:r>
    </w:p>
    <w:p>
      <w:pPr>
        <w:pStyle w:val="ListBullet"/>
        <w:spacing w:after="80" w:line="280" w:lineRule="auto"/>
      </w:pPr>
      <w:r>
        <w:rPr>
          <w:rFonts w:ascii="PingFang SC" w:hAnsi="PingFang SC" w:eastAsia="PingFang SC" w:cs="PingFang SC"/>
          <w:color w:val="1F2937"/>
          <w:sz w:val="22"/>
        </w:rPr>
        <w:t>反馈中心：选择考勤日期和问题类型，填写说明；查看 HR 回复、处理状态和关联调整结果。</w:t>
      </w:r>
    </w:p>
    <w:p>
      <w:pPr>
        <w:pStyle w:val="ListBullet"/>
        <w:spacing w:after="80" w:line="280" w:lineRule="auto"/>
      </w:pPr>
      <w:r>
        <w:rPr>
          <w:rFonts w:ascii="PingFang SC" w:hAnsi="PingFang SC" w:eastAsia="PingFang SC" w:cs="PingFang SC"/>
          <w:color w:val="1F2937"/>
          <w:sz w:val="22"/>
        </w:rPr>
        <w:t>移动端宽度从 360px 起适配；表格改为卡片/分组列表，关键操作和状态不依赖横向滚动。</w:t>
      </w:r>
    </w:p>
    <w:p>
      <w:pPr>
        <w:pStyle w:val="Heading2"/>
        <w:keepNext/>
      </w:pPr>
      <w:r>
        <w:rPr>
          <w:rFonts w:ascii="PingFang SC" w:hAnsi="PingFang SC" w:eastAsia="PingFang SC" w:cs="PingFang SC"/>
        </w:rPr>
        <w:t>9.3 看板和报表</w:t>
      </w:r>
    </w:p>
    <w:tbl>
      <w:tblPr>
        <w:tblStyle w:val="TableGrid"/>
        <w:tblW w:type="dxa" w:w="9360"/>
        <w:jc w:val="left"/>
        <w:tblLayout w:type="fixed"/>
        <w:tblLook w:firstColumn="1" w:firstRow="1" w:lastColumn="0" w:lastRow="0" w:noHBand="0" w:noVBand="1" w:val="04A0"/>
        <w:tblInd w:type="dxa" w:w="120"/>
      </w:tblPr>
      <w:tblGrid>
        <w:gridCol w:w="1656"/>
        <w:gridCol w:w="5256"/>
        <w:gridCol w:w="2448"/>
      </w:tblGrid>
      <w:tr>
        <w:trPr>
          <w:tblHeader w:val="true"/>
          <w:cantSplit w:val="true"/>
        </w:trPr>
        <w:tc>
          <w:tcPr>
            <w:tcW w:type="dxa" w:w="165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层级</w:t>
            </w:r>
          </w:p>
        </w:tc>
        <w:tc>
          <w:tcPr>
            <w:tcW w:type="dxa" w:w="525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指标</w:t>
            </w:r>
          </w:p>
        </w:tc>
        <w:tc>
          <w:tcPr>
            <w:tcW w:type="dxa" w:w="244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下钻/边界</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公司</w:t>
            </w:r>
          </w:p>
        </w:tc>
        <w:tc>
          <w:tcPr>
            <w:tcW w:type="dxa" w:w="52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出勤率、异常率、认可加班、请假、未月结、数据新鲜度</w:t>
            </w:r>
          </w:p>
        </w:tc>
        <w:tc>
          <w:tcPr>
            <w:tcW w:type="dxa" w:w="244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仅老板/HR；位置和薪资不进入公司大屏</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部门/班组</w:t>
            </w:r>
          </w:p>
        </w:tc>
        <w:tc>
          <w:tcPr>
            <w:tcW w:type="dxa" w:w="52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应出勤、确认工作、迟到、早退、缺卡、旷工、加班、假期余额风险</w:t>
            </w:r>
          </w:p>
        </w:tc>
        <w:tc>
          <w:tcPr>
            <w:tcW w:type="dxa" w:w="244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负责人按本地数据范围下钻</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个人</w:t>
            </w:r>
          </w:p>
        </w:tc>
        <w:tc>
          <w:tcPr>
            <w:tcW w:type="dxa" w:w="52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日/周/月工时、异常、加班、请假、年假/调休余额</w:t>
            </w:r>
          </w:p>
        </w:tc>
        <w:tc>
          <w:tcPr>
            <w:tcW w:type="dxa" w:w="244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员工仅本人；HR 按权限查看</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签到排行</w:t>
            </w:r>
          </w:p>
        </w:tc>
        <w:tc>
          <w:tcPr>
            <w:tcW w:type="dxa" w:w="52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名次、展示名、允许的时间粒度</w:t>
            </w:r>
          </w:p>
        </w:tc>
        <w:tc>
          <w:tcPr>
            <w:tcW w:type="dxa" w:w="244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不返回原始打卡、坐标、设备或请假原因</w:t>
            </w:r>
          </w:p>
        </w:tc>
      </w:tr>
    </w:tbl>
    <w:p>
      <w:pPr>
        <w:spacing w:after="40"/>
      </w:pPr>
    </w:p>
    <w:p>
      <w:pPr>
        <w:spacing w:after="120"/>
      </w:pPr>
      <w:r>
        <w:rPr>
          <w:rFonts w:ascii="PingFang SC" w:hAnsi="PingFang SC" w:eastAsia="PingFang SC" w:cs="PingFang SC"/>
          <w:i w:val="0"/>
          <w:color w:val="1F2937"/>
          <w:sz w:val="22"/>
        </w:rPr>
        <w:t>导出必须复用页面同一数据范围和字段白名单。50,000 行以内同步导出，超过阈值转异步任务；创建和下载时均重新鉴权。导出内容保存筛选条件、版本、申请人和生成时间。</w:t>
      </w:r>
    </w:p>
    <w:p>
      <w:pPr>
        <w:pStyle w:val="Heading2"/>
        <w:keepNext/>
      </w:pPr>
      <w:r>
        <w:rPr>
          <w:rFonts w:ascii="PingFang SC" w:hAnsi="PingFang SC" w:eastAsia="PingFang SC" w:cs="PingFang SC"/>
        </w:rPr>
        <w:t>9.4 位置核验</w:t>
      </w:r>
    </w:p>
    <w:p>
      <w:pPr>
        <w:pStyle w:val="ListBullet"/>
        <w:spacing w:after="80" w:line="280" w:lineRule="auto"/>
      </w:pPr>
      <w:r>
        <w:rPr>
          <w:rFonts w:ascii="PingFang SC" w:hAnsi="PingFang SC" w:eastAsia="PingFang SC" w:cs="PingFang SC"/>
          <w:color w:val="1F2937"/>
          <w:sz w:val="22"/>
        </w:rPr>
        <w:t>定位只用于查看一次具体打卡地点，不提供实时位置、连续轨迹或批量人员地图。</w:t>
      </w:r>
    </w:p>
    <w:p>
      <w:pPr>
        <w:pStyle w:val="ListBullet"/>
        <w:spacing w:after="80" w:line="280" w:lineRule="auto"/>
      </w:pPr>
      <w:r>
        <w:rPr>
          <w:rFonts w:ascii="PingFang SC" w:hAnsi="PingFang SC" w:eastAsia="PingFang SC" w:cs="PingFang SC"/>
          <w:color w:val="1F2937"/>
          <w:sz w:val="22"/>
        </w:rPr>
        <w:t>员工可查看本人该次打卡位置；管理者必须同时具备人员范围和独立位置查看权限，并填写查看原因。</w:t>
      </w:r>
    </w:p>
    <w:p>
      <w:pPr>
        <w:pStyle w:val="ListBullet"/>
        <w:spacing w:after="80" w:line="280" w:lineRule="auto"/>
      </w:pPr>
      <w:r>
        <w:rPr>
          <w:rFonts w:ascii="PingFang SC" w:hAnsi="PingFang SC" w:eastAsia="PingFang SC" w:cs="PingFang SC"/>
          <w:color w:val="1F2937"/>
          <w:sz w:val="22"/>
        </w:rPr>
        <w:t>没有有效坐标时只显示来源地点文字；坐标系未确认时不得静默转换或在地图上绘制。</w:t>
      </w:r>
    </w:p>
    <w:p>
      <w:pPr>
        <w:pStyle w:val="ListBullet"/>
        <w:spacing w:after="80" w:line="280" w:lineRule="auto"/>
      </w:pPr>
      <w:r>
        <w:rPr>
          <w:rFonts w:ascii="PingFang SC" w:hAnsi="PingFang SC" w:eastAsia="PingFang SC" w:cs="PingFang SC"/>
          <w:color w:val="1F2937"/>
          <w:sz w:val="22"/>
        </w:rPr>
        <w:t>公司/部门看板、签到排行、普通导出和第三方埋点均不得包含精确坐标。</w:t>
      </w:r>
    </w:p>
    <w:p>
      <w:pPr>
        <w:pStyle w:val="ListBullet"/>
        <w:spacing w:after="80" w:line="280" w:lineRule="auto"/>
      </w:pPr>
      <w:r>
        <w:rPr>
          <w:rFonts w:ascii="PingFang SC" w:hAnsi="PingFang SC" w:eastAsia="PingFang SC" w:cs="PingFang SC"/>
          <w:color w:val="1F2937"/>
          <w:sz w:val="22"/>
        </w:rPr>
        <w:t>系统记录查看人、对象、时间、原因和结果。</w:t>
      </w:r>
    </w:p>
    <w:p>
      <w:pPr>
        <w:pStyle w:val="Heading1"/>
        <w:keepNext/>
      </w:pPr>
      <w:r>
        <w:rPr>
          <w:rFonts w:ascii="PingFang SC" w:hAnsi="PingFang SC" w:eastAsia="PingFang SC" w:cs="PingFang SC"/>
        </w:rPr>
        <w:t>10. 薪资后台预留</w:t>
      </w:r>
    </w:p>
    <w:p>
      <w:pPr>
        <w:pStyle w:val="Heading2"/>
        <w:keepNext/>
      </w:pPr>
      <w:r>
        <w:rPr>
          <w:rFonts w:ascii="PingFang SC" w:hAnsi="PingFang SC" w:eastAsia="PingFang SC" w:cs="PingFang SC"/>
        </w:rPr>
        <w:t>10.1 产品边界</w:t>
      </w:r>
    </w:p>
    <w:p>
      <w:pPr>
        <w:spacing w:before="100" w:after="160" w:line="264" w:lineRule="auto"/>
        <w:shd w:fill="FDECEC"/>
        <w:pBdr>
          <w:left w:val="single" w:sz="18" w:space="8" w:color="9B1C1C"/>
        </w:pBdr>
        <w:ind w:left="160" w:right="160"/>
        <w:keepLines/>
      </w:pPr>
      <w:r>
        <w:rPr>
          <w:rFonts w:ascii="PingFang SC" w:hAnsi="PingFang SC" w:eastAsia="PingFang SC" w:cs="PingFang SC"/>
          <w:b/>
          <w:color w:val="9B1C1C"/>
          <w:sz w:val="21"/>
        </w:rPr>
        <w:t xml:space="preserve">核心约束  </w:t>
      </w:r>
      <w:r>
        <w:rPr>
          <w:rFonts w:ascii="PingFang SC" w:hAnsi="PingFang SC" w:eastAsia="PingFang SC" w:cs="PingFang SC"/>
          <w:color w:val="1F2937"/>
          <w:sz w:val="21"/>
        </w:rPr>
        <w:t>薪资能力可以在后端建设，但当前任何前台都不显示。功能关闭时，员工、经理、普通 HR 和系统管理员不能通过改 URL、直接调用接口、搜索、导出或浏览器缓存获得薪资数据。</w:t>
      </w:r>
    </w:p>
    <w:tbl>
      <w:tblPr>
        <w:tblStyle w:val="TableGrid"/>
        <w:tblW w:type="dxa" w:w="9360"/>
        <w:jc w:val="left"/>
        <w:tblLayout w:type="fixed"/>
        <w:tblLook w:firstColumn="1" w:firstRow="1" w:lastColumn="0" w:lastRow="0" w:noHBand="0" w:noVBand="1" w:val="04A0"/>
        <w:tblInd w:type="dxa" w:w="120"/>
      </w:tblPr>
      <w:tblGrid>
        <w:gridCol w:w="2088"/>
        <w:gridCol w:w="4320"/>
        <w:gridCol w:w="2952"/>
      </w:tblGrid>
      <w:tr>
        <w:trPr>
          <w:tblHeader w:val="true"/>
          <w:cantSplit w:val="true"/>
        </w:trPr>
        <w:tc>
          <w:tcPr>
            <w:tcW w:type="dxa" w:w="208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建设内容</w:t>
            </w:r>
          </w:p>
        </w:tc>
        <w:tc>
          <w:tcPr>
            <w:tcW w:type="dxa" w:w="432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P0-B 交付</w:t>
            </w:r>
          </w:p>
        </w:tc>
        <w:tc>
          <w:tcPr>
            <w:tcW w:type="dxa" w:w="295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当前不交付</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薪资期间</w:t>
            </w:r>
          </w:p>
        </w:tc>
        <w:tc>
          <w:tcPr>
            <w:tcW w:type="dxa" w:w="432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月份、状态、输入考勤月结版本</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前台期间管理页面</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薪资项目</w:t>
            </w:r>
          </w:p>
        </w:tc>
        <w:tc>
          <w:tcPr>
            <w:tcW w:type="dxa" w:w="432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编码、名称、收入/扣减、固定/考勤变量、精度、生效期</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复杂公式设计器和多账套</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员工薪资档案</w:t>
            </w:r>
          </w:p>
        </w:tc>
        <w:tc>
          <w:tcPr>
            <w:tcW w:type="dxa" w:w="432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后端实体、有效期、加密字段边界</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员工/HR 前台录入与查看</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考勤变量</w:t>
            </w:r>
          </w:p>
        </w:tc>
        <w:tc>
          <w:tcPr>
            <w:tcW w:type="dxa" w:w="432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应出勤、确认工时、认可加班、请假、旷工、全勤标志等快照映射</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读取开放月份或原始打卡</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核算运行</w:t>
            </w:r>
          </w:p>
        </w:tc>
        <w:tc>
          <w:tcPr>
            <w:tcW w:type="dxa" w:w="432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锁定输入、计算、结果快照、错误和审计</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正式发布、工资条、消息通知</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法定项目</w:t>
            </w:r>
          </w:p>
        </w:tc>
        <w:tc>
          <w:tcPr>
            <w:tcW w:type="dxa" w:w="432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接口和版本占位</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税、社保、公积金正式参数及申报</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支付/报表</w:t>
            </w:r>
          </w:p>
        </w:tc>
        <w:tc>
          <w:tcPr>
            <w:tcW w:type="dxa" w:w="432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无</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银行文件、发薪、个人工资报表、经理薪酬看板</w:t>
            </w:r>
          </w:p>
        </w:tc>
      </w:tr>
    </w:tbl>
    <w:p>
      <w:pPr>
        <w:spacing w:after="40"/>
      </w:pPr>
    </w:p>
    <w:p>
      <w:pPr>
        <w:pStyle w:val="Heading2"/>
        <w:keepNext/>
      </w:pPr>
      <w:r>
        <w:rPr>
          <w:rFonts w:ascii="PingFang SC" w:hAnsi="PingFang SC" w:eastAsia="PingFang SC" w:cs="PingFang SC"/>
        </w:rPr>
        <w:t>10.2 后端逻辑基线</w:t>
      </w:r>
    </w:p>
    <w:p>
      <w:pPr>
        <w:pStyle w:val="ListBullet"/>
        <w:spacing w:after="80" w:line="280" w:lineRule="auto"/>
      </w:pPr>
      <w:r>
        <w:rPr>
          <w:rFonts w:ascii="PingFang SC" w:hAnsi="PingFang SC" w:eastAsia="PingFang SC" w:cs="PingFang SC"/>
          <w:color w:val="1F2937"/>
          <w:sz w:val="22"/>
        </w:rPr>
        <w:t>工资运行必须显式选择已关闭的考勤月结版本；开放、已反月结或已发生新差异的版本不得作为正式输入。</w:t>
      </w:r>
    </w:p>
    <w:p>
      <w:pPr>
        <w:pStyle w:val="ListBullet"/>
        <w:spacing w:after="80" w:line="280" w:lineRule="auto"/>
      </w:pPr>
      <w:r>
        <w:rPr>
          <w:rFonts w:ascii="PingFang SC" w:hAnsi="PingFang SC" w:eastAsia="PingFang SC" w:cs="PingFang SC"/>
          <w:color w:val="1F2937"/>
          <w:sz w:val="22"/>
        </w:rPr>
        <w:t>项目规则按生效日期选择，计算结果保存项目、数量、单价/基数、规则版本、来源变量和结果，保证可解释和可重算。</w:t>
      </w:r>
    </w:p>
    <w:p>
      <w:pPr>
        <w:pStyle w:val="ListBullet"/>
        <w:spacing w:after="80" w:line="280" w:lineRule="auto"/>
      </w:pPr>
      <w:r>
        <w:rPr>
          <w:rFonts w:ascii="PingFang SC" w:hAnsi="PingFang SC" w:eastAsia="PingFang SC" w:cs="PingFang SC"/>
          <w:color w:val="1F2937"/>
          <w:sz w:val="22"/>
        </w:rPr>
        <w:t>基本勾稽关系预留为：应发收入 - 员工承担扣减 - 个税 - 其他扣减 + 补发追扣 = 实发。法定参数未配置时运行状态为阻断，不以 0 冒充已计算。</w:t>
      </w:r>
    </w:p>
    <w:p>
      <w:pPr>
        <w:pStyle w:val="ListBullet"/>
        <w:spacing w:after="80" w:line="280" w:lineRule="auto"/>
      </w:pPr>
      <w:r>
        <w:rPr>
          <w:rFonts w:ascii="PingFang SC" w:hAnsi="PingFang SC" w:eastAsia="PingFang SC" w:cs="PingFang SC"/>
          <w:color w:val="1F2937"/>
          <w:sz w:val="22"/>
        </w:rPr>
        <w:t>已锁定输入发生变化时，将运行标记为过期；不把新数据静默带入旧结果。</w:t>
      </w:r>
    </w:p>
    <w:p>
      <w:pPr>
        <w:pStyle w:val="ListBullet"/>
        <w:spacing w:after="80" w:line="280" w:lineRule="auto"/>
      </w:pPr>
      <w:r>
        <w:rPr>
          <w:rFonts w:ascii="PingFang SC" w:hAnsi="PingFang SC" w:eastAsia="PingFang SC" w:cs="PingFang SC"/>
          <w:color w:val="1F2937"/>
          <w:sz w:val="22"/>
        </w:rPr>
        <w:t>结果快照不可原地覆盖；重新计算生成新版本。</w:t>
      </w:r>
    </w:p>
    <w:p>
      <w:pPr>
        <w:pStyle w:val="ListBullet"/>
        <w:spacing w:after="80" w:line="280" w:lineRule="auto"/>
      </w:pPr>
      <w:r>
        <w:rPr>
          <w:rFonts w:ascii="PingFang SC" w:hAnsi="PingFang SC" w:eastAsia="PingFang SC" w:cs="PingFang SC"/>
          <w:color w:val="1F2937"/>
          <w:sz w:val="22"/>
        </w:rPr>
        <w:t>PAYROLL 使用独立权限命名空间和 DTO；通用花名册、考勤报表和员工接口不引用薪资实体。</w:t>
      </w:r>
    </w:p>
    <w:p>
      <w:pPr>
        <w:pStyle w:val="Heading2"/>
        <w:keepNext/>
      </w:pPr>
      <w:r>
        <w:rPr>
          <w:rFonts w:ascii="PingFang SC" w:hAnsi="PingFang SC" w:eastAsia="PingFang SC" w:cs="PingFang SC"/>
        </w:rPr>
        <w:t>10.3 隐藏验收</w:t>
      </w:r>
    </w:p>
    <w:tbl>
      <w:tblPr>
        <w:tblStyle w:val="TableGrid"/>
        <w:tblW w:type="dxa" w:w="9360"/>
        <w:jc w:val="left"/>
        <w:tblLayout w:type="fixed"/>
        <w:tblLook w:firstColumn="1" w:firstRow="1" w:lastColumn="0" w:lastRow="0" w:noHBand="0" w:noVBand="1" w:val="04A0"/>
        <w:tblInd w:type="dxa" w:w="120"/>
      </w:tblPr>
      <w:tblGrid>
        <w:gridCol w:w="1656"/>
        <w:gridCol w:w="7704"/>
      </w:tblGrid>
      <w:tr>
        <w:trPr>
          <w:tblHeader w:val="true"/>
          <w:cantSplit w:val="true"/>
        </w:trPr>
        <w:tc>
          <w:tcPr>
            <w:tcW w:type="dxa" w:w="165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AC</w:t>
            </w:r>
          </w:p>
        </w:tc>
        <w:tc>
          <w:tcPr>
            <w:tcW w:type="dxa" w:w="770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验收条件</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AC-PAY-01</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payroll.ui.enabled=false 时，前端产物中不存在薪资菜单、路由、卡片、按钮、搜索入口和通知文案。</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AC-PAY-02</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员工、部门负责人、普通 HR、系统管理员直接请求薪资 API 均被服务端拒绝，且响应不泄露对象是否存在。</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AC-PAY-03</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花名册、组织、考勤、看板和普通导出字段中薪资金额、税、社保、公积金命中数为 0。</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AC-PAY-04</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后端自动测试可基于已关闭考勤快照创建运行、锁定输入并生成可解释结果版本。</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AC-PAY-05</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法定参数缺失时运行明确失败并给出缺失项，不产生可发布或可被员工读取的工资条。</w:t>
            </w:r>
          </w:p>
        </w:tc>
      </w:tr>
    </w:tbl>
    <w:p>
      <w:pPr>
        <w:spacing w:after="40"/>
      </w:pPr>
    </w:p>
    <w:p>
      <w:pPr>
        <w:pStyle w:val="Heading1"/>
        <w:keepNext/>
      </w:pPr>
      <w:r>
        <w:rPr>
          <w:rFonts w:ascii="PingFang SC" w:hAnsi="PingFang SC" w:eastAsia="PingFang SC" w:cs="PingFang SC"/>
        </w:rPr>
        <w:t>11. 数据、非功能、安全与指标</w:t>
      </w:r>
    </w:p>
    <w:p>
      <w:pPr>
        <w:pStyle w:val="Heading2"/>
        <w:keepNext/>
      </w:pPr>
      <w:r>
        <w:rPr>
          <w:rFonts w:ascii="PingFang SC" w:hAnsi="PingFang SC" w:eastAsia="PingFang SC" w:cs="PingFang SC"/>
        </w:rPr>
        <w:t>11.1 核心数据对象</w:t>
      </w:r>
    </w:p>
    <w:tbl>
      <w:tblPr>
        <w:tblStyle w:val="TableGrid"/>
        <w:tblW w:type="dxa" w:w="9360"/>
        <w:jc w:val="left"/>
        <w:tblLayout w:type="fixed"/>
        <w:tblLook w:firstColumn="1" w:firstRow="1" w:lastColumn="0" w:lastRow="0" w:noHBand="0" w:noVBand="1" w:val="04A0"/>
        <w:tblInd w:type="dxa" w:w="120"/>
      </w:tblPr>
      <w:tblGrid>
        <w:gridCol w:w="2376"/>
        <w:gridCol w:w="4680"/>
        <w:gridCol w:w="2304"/>
      </w:tblGrid>
      <w:tr>
        <w:trPr>
          <w:tblHeader w:val="true"/>
          <w:cantSplit w:val="true"/>
        </w:trPr>
        <w:tc>
          <w:tcPr>
            <w:tcW w:type="dxa" w:w="237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对象</w:t>
            </w:r>
          </w:p>
        </w:tc>
        <w:tc>
          <w:tcPr>
            <w:tcW w:type="dxa" w:w="468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关键字段/关系</w:t>
            </w:r>
          </w:p>
        </w:tc>
        <w:tc>
          <w:tcPr>
            <w:tcW w:type="dxa" w:w="230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不变量</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Organization / Position</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内部 ID、编码、名称、父级、状态、生效期</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被历史引用后不可物理删除</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Employee / EmploymentPeriod / Assignment</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employee_id、员工编号、历次入离职周期、组织、岗位、生效期</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员工编号唯一；历史任职不覆盖；同日一个主组织</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LoginAccount / Credential</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账号、employee_id、状态、角色、密码哈希、失败次数、会话版本</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独立本地认证；一个员工一个主账号；密码永不明文保存</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AttendanceGroup / Shift / Calendar</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班组、季节班次版本、工作段、休息段、日历、地点、规则、生效期</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同日唯一班组和班次版本；发布后版本化</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PunchEvent</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来源、来源 ID、employee_id、时间、方式、地点、批次</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原始事实只追加且幂等</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BusinessDocument</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类型、时段、状态、提交/审批/撤销时间、来源</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只有已通过且未撤销版本参与计算</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AttendanceSegment / DailyResult</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时段类型、分钟、原因码、证据、规则版本</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汇总可由分段重算；允许混合状态</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AttendanceException / Adjustment</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异常、状态、处理人、原因、裁定</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调整不改原始事实</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TimeAccount / LedgerEntry</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账户、流水类型、小时、单据/批次、有效期</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余额等于流水汇总；纠错用冲销</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LeaveType / LeavePolicy</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假别、计量口径、单位、额度、资格、材料、有效期、版本</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默认工作日；已发布版本不可原地覆盖</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AnnualLeavePolicy</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资格门槛、最新入职锚点、累计工龄档位、周年发放/失效</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资格和档位分开；二次入职重置周年锚点</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AttendanceMonthVersion</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月份、版本、状态、水位、规则、汇总哈希</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已关闭版本不可覆盖</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PayrollPeriod / Run / Result</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P0-B 独立对象和考勤快照引用</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前台关闭；不进入通用 DTO</w:t>
            </w:r>
          </w:p>
        </w:tc>
      </w:tr>
    </w:tbl>
    <w:p>
      <w:pPr>
        <w:spacing w:after="40"/>
      </w:pPr>
    </w:p>
    <w:p>
      <w:pPr>
        <w:pStyle w:val="Heading2"/>
        <w:keepNext/>
      </w:pPr>
      <w:r>
        <w:rPr>
          <w:rFonts w:ascii="PingFang SC" w:hAnsi="PingFang SC" w:eastAsia="PingFang SC" w:cs="PingFang SC"/>
        </w:rPr>
        <w:t>11.2 性能、容量与可用性</w:t>
      </w:r>
    </w:p>
    <w:tbl>
      <w:tblPr>
        <w:tblStyle w:val="TableGrid"/>
        <w:tblW w:type="dxa" w:w="9360"/>
        <w:jc w:val="left"/>
        <w:tblLayout w:type="fixed"/>
        <w:tblLook w:firstColumn="1" w:firstRow="1" w:lastColumn="0" w:lastRow="0" w:noHBand="0" w:noVBand="1" w:val="04A0"/>
        <w:tblInd w:type="dxa" w:w="120"/>
      </w:tblPr>
      <w:tblGrid>
        <w:gridCol w:w="1944"/>
        <w:gridCol w:w="741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维度</w:t>
            </w:r>
          </w:p>
        </w:tc>
        <w:tc>
          <w:tcPr>
            <w:tcW w:type="dxa" w:w="741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验收基线</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容量</w:t>
            </w:r>
          </w:p>
        </w:tc>
        <w:tc>
          <w:tcPr>
            <w:tcW w:type="dxa" w:w="74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以上线前采集的在职人数、日峰值打卡和月末并发为基线；用实测峰值和 36 个月数据量做 POC，不虚构集团规模</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查询</w:t>
            </w:r>
          </w:p>
        </w:tc>
        <w:tc>
          <w:tcPr>
            <w:tcW w:type="dxa" w:w="74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50 并发下常用列表 P95 &lt;=2 秒；个人/部门看板 P95 &lt;=3 秒；单条详情 P95 &lt;=1 秒</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页面</w:t>
            </w:r>
          </w:p>
        </w:tc>
        <w:tc>
          <w:tcPr>
            <w:tcW w:type="dxa" w:w="74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PC/移动核心页面首个可用内容 &lt;=2.5 秒；360px 及以上宽度可用</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同步</w:t>
            </w:r>
          </w:p>
        </w:tc>
        <w:tc>
          <w:tcPr>
            <w:tcW w:type="dxa" w:w="74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上游正常时 95% 新打卡/单据 10 分钟内可见，99% 在 30 分钟内可见</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计算</w:t>
            </w:r>
          </w:p>
        </w:tc>
        <w:tc>
          <w:tcPr>
            <w:tcW w:type="dxa" w:w="74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现网容量下全月重算与月结暂定 &lt;=30 分钟，最终以容量 POC 冻结</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导出</w:t>
            </w:r>
          </w:p>
        </w:tc>
        <w:tc>
          <w:tcPr>
            <w:tcW w:type="dxa" w:w="74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50,000 行以内 &lt;=60 秒；超过阈值异步生成</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可用性</w:t>
            </w:r>
          </w:p>
        </w:tc>
        <w:tc>
          <w:tcPr>
            <w:tcW w:type="dxa" w:w="74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月度可用性 &gt;=99.5%（计划维护除外）；同步失败不影响既有结果查询</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恢复</w:t>
            </w:r>
          </w:p>
        </w:tc>
        <w:tc>
          <w:tcPr>
            <w:tcW w:type="dxa" w:w="74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RPO &lt;=15 分钟，RTO &lt;=4 小时；季度完成备份恢复演练</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7"/>
              </w:rPr>
              <w:t>兼容</w:t>
            </w:r>
          </w:p>
        </w:tc>
        <w:tc>
          <w:tcPr>
            <w:tcW w:type="dxa" w:w="74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最近两个主版本 Chrome/Edge、iOS Safari、Android Chrome</w:t>
            </w:r>
          </w:p>
        </w:tc>
      </w:tr>
    </w:tbl>
    <w:p>
      <w:pPr>
        <w:spacing w:after="40"/>
      </w:pPr>
    </w:p>
    <w:p>
      <w:pPr>
        <w:pStyle w:val="Heading2"/>
        <w:keepNext/>
      </w:pPr>
      <w:r>
        <w:rPr>
          <w:rFonts w:ascii="PingFang SC" w:hAnsi="PingFang SC" w:eastAsia="PingFang SC" w:cs="PingFang SC"/>
        </w:rPr>
        <w:t>11.3 安全与隐私</w:t>
      </w:r>
    </w:p>
    <w:p>
      <w:pPr>
        <w:pStyle w:val="ListBullet"/>
        <w:spacing w:after="80" w:line="280" w:lineRule="auto"/>
      </w:pPr>
      <w:r>
        <w:rPr>
          <w:rFonts w:ascii="PingFang SC" w:hAnsi="PingFang SC" w:eastAsia="PingFang SC" w:cs="PingFang SC"/>
          <w:color w:val="1F2937"/>
          <w:sz w:val="22"/>
        </w:rPr>
        <w:t>全链路 TLS；API 密钥、数据库口令和文件存储凭据不进入仓库、页面、日志或错误信息。</w:t>
      </w:r>
    </w:p>
    <w:p>
      <w:pPr>
        <w:pStyle w:val="ListBullet"/>
        <w:spacing w:after="80" w:line="280" w:lineRule="auto"/>
      </w:pPr>
      <w:r>
        <w:rPr>
          <w:rFonts w:ascii="PingFang SC" w:hAnsi="PingFang SC" w:eastAsia="PingFang SC" w:cs="PingFang SC"/>
          <w:color w:val="1F2937"/>
          <w:sz w:val="22"/>
        </w:rPr>
        <w:t>本系统账号密码独立于致远 OA；密码仅保存带盐慢哈希。首次登录强制改密，失败锁定、重置、停用、会话撤销和管理员操作均记录安全日志。</w:t>
      </w:r>
    </w:p>
    <w:p>
      <w:pPr>
        <w:pStyle w:val="ListBullet"/>
        <w:spacing w:after="80" w:line="280" w:lineRule="auto"/>
      </w:pPr>
      <w:r>
        <w:rPr>
          <w:rFonts w:ascii="PingFang SC" w:hAnsi="PingFang SC" w:eastAsia="PingFang SC" w:cs="PingFang SC"/>
          <w:color w:val="1F2937"/>
          <w:sz w:val="22"/>
        </w:rPr>
        <w:t>服务端逐请求鉴权并在查询前限定本地组织/班组范围和字段；禁止先查全量再由前端过滤。</w:t>
      </w:r>
    </w:p>
    <w:p>
      <w:pPr>
        <w:pStyle w:val="ListBullet"/>
        <w:spacing w:after="80" w:line="280" w:lineRule="auto"/>
      </w:pPr>
      <w:r>
        <w:rPr>
          <w:rFonts w:ascii="PingFang SC" w:hAnsi="PingFang SC" w:eastAsia="PingFang SC" w:cs="PingFang SC"/>
          <w:color w:val="1F2937"/>
          <w:sz w:val="22"/>
        </w:rPr>
        <w:t>原始打卡、病假原因、孕检/哺乳信息和精确位置按敏感数据处理；排行和看板使用最小发布字段。</w:t>
      </w:r>
    </w:p>
    <w:p>
      <w:pPr>
        <w:pStyle w:val="ListBullet"/>
        <w:spacing w:after="80" w:line="280" w:lineRule="auto"/>
      </w:pPr>
      <w:r>
        <w:rPr>
          <w:rFonts w:ascii="PingFang SC" w:hAnsi="PingFang SC" w:eastAsia="PingFang SC" w:cs="PingFang SC"/>
          <w:color w:val="1F2937"/>
          <w:sz w:val="22"/>
        </w:rPr>
        <w:t>位置查看、批量导出、人工调整、规则发布、月结/反月结、期初导入和余额调整均记录审计。</w:t>
      </w:r>
    </w:p>
    <w:p>
      <w:pPr>
        <w:pStyle w:val="ListBullet"/>
        <w:spacing w:after="80" w:line="280" w:lineRule="auto"/>
      </w:pPr>
      <w:r>
        <w:rPr>
          <w:rFonts w:ascii="PingFang SC" w:hAnsi="PingFang SC" w:eastAsia="PingFang SC" w:cs="PingFang SC"/>
          <w:color w:val="1F2937"/>
          <w:sz w:val="22"/>
        </w:rPr>
        <w:t>前台隐藏的薪资字段不得进入日志、APM、埋点、搜索索引、浏览器缓存或普通导出。</w:t>
      </w:r>
    </w:p>
    <w:p>
      <w:pPr>
        <w:pStyle w:val="ListBullet"/>
        <w:spacing w:after="80" w:line="280" w:lineRule="auto"/>
      </w:pPr>
      <w:r>
        <w:rPr>
          <w:rFonts w:ascii="PingFang SC" w:hAnsi="PingFang SC" w:eastAsia="PingFang SC" w:cs="PingFang SC"/>
          <w:color w:val="1F2937"/>
          <w:sz w:val="22"/>
        </w:rPr>
        <w:t>上传文件校验扩展名、MIME、大小和模板版本；原文件受控保存，错误明细不得泄露非授权员工数据。</w:t>
      </w:r>
    </w:p>
    <w:p>
      <w:pPr>
        <w:pStyle w:val="ListBullet"/>
        <w:spacing w:after="80" w:line="280" w:lineRule="auto"/>
      </w:pPr>
      <w:r>
        <w:rPr>
          <w:rFonts w:ascii="PingFang SC" w:hAnsi="PingFang SC" w:eastAsia="PingFang SC" w:cs="PingFang SC"/>
          <w:color w:val="1F2937"/>
          <w:sz w:val="22"/>
        </w:rPr>
        <w:t>调岗、离职、停用或权限收缩后，旧会话和导出任务在 5 分钟内失效或重新鉴权。</w:t>
      </w:r>
    </w:p>
    <w:p>
      <w:pPr>
        <w:pStyle w:val="Heading2"/>
        <w:keepNext/>
      </w:pPr>
      <w:r>
        <w:rPr>
          <w:rFonts w:ascii="PingFang SC" w:hAnsi="PingFang SC" w:eastAsia="PingFang SC" w:cs="PingFang SC"/>
        </w:rPr>
        <w:t>11.4 产品指标</w:t>
      </w:r>
    </w:p>
    <w:tbl>
      <w:tblPr>
        <w:tblStyle w:val="TableGrid"/>
        <w:tblW w:type="dxa" w:w="9360"/>
        <w:jc w:val="left"/>
        <w:tblLayout w:type="fixed"/>
        <w:tblLook w:firstColumn="1" w:firstRow="1" w:lastColumn="0" w:lastRow="0" w:noHBand="0" w:noVBand="1" w:val="04A0"/>
        <w:tblInd w:type="dxa" w:w="120"/>
      </w:tblPr>
      <w:tblGrid>
        <w:gridCol w:w="2232"/>
        <w:gridCol w:w="4824"/>
        <w:gridCol w:w="2304"/>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指标</w:t>
            </w:r>
          </w:p>
        </w:tc>
        <w:tc>
          <w:tcPr>
            <w:tcW w:type="dxa" w:w="482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定义</w:t>
            </w:r>
          </w:p>
        </w:tc>
        <w:tc>
          <w:tcPr>
            <w:tcW w:type="dxa" w:w="230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目标/观察</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期初导入通过率</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最终发布成功行 / 拟导入行</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正式发布 100%；错误在预校验解决</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数据新鲜度</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来源通过到本系统可见的耗时</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P95 &lt;=10 分钟</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自动计算率</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无需人工调整即获得最终结果的员工日 / 全部员工日</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试运行第 2 个月 &gt;=95%</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未决异常</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月结预检时仍未解决的硬阻断异常</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关闭前为 0</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月结及时率</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目标日内关闭的月份 / 全部月份</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建议次月第 2 个工作日内</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余额勾稽差异</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页面余额 - 流水重算余额</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恒等于 0</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手工调整率</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人工调整员工日 / 全部员工日</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持续下降；超过 5% 复盘规则</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越权阻断率</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被测试的越权路径中成功阻断比例</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100%</w:t>
            </w:r>
          </w:p>
        </w:tc>
      </w:tr>
    </w:tbl>
    <w:p>
      <w:pPr>
        <w:spacing w:after="40"/>
      </w:pPr>
    </w:p>
    <w:p>
      <w:pPr>
        <w:pStyle w:val="Heading2"/>
        <w:keepNext/>
      </w:pPr>
      <w:r>
        <w:rPr>
          <w:rFonts w:ascii="PingFang SC" w:hAnsi="PingFang SC" w:eastAsia="PingFang SC" w:cs="PingFang SC"/>
        </w:rPr>
        <w:t>11.5 关键埋点/审计事件</w:t>
      </w:r>
    </w:p>
    <w:tbl>
      <w:tblPr>
        <w:tblStyle w:val="TableGrid"/>
        <w:tblW w:type="dxa" w:w="9360"/>
        <w:jc w:val="left"/>
        <w:tblLayout w:type="fixed"/>
        <w:tblLook w:firstColumn="1" w:firstRow="1" w:lastColumn="0" w:lastRow="0" w:noHBand="0" w:noVBand="1" w:val="04A0"/>
        <w:tblInd w:type="dxa" w:w="120"/>
      </w:tblPr>
      <w:tblGrid>
        <w:gridCol w:w="2448"/>
        <w:gridCol w:w="2592"/>
        <w:gridCol w:w="2736"/>
        <w:gridCol w:w="1584"/>
      </w:tblGrid>
      <w:tr>
        <w:trPr>
          <w:tblHeader w:val="true"/>
          <w:cantSplit w:val="true"/>
        </w:trPr>
        <w:tc>
          <w:tcPr>
            <w:tcW w:type="dxa" w:w="244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事件</w:t>
            </w:r>
          </w:p>
        </w:tc>
        <w:tc>
          <w:tcPr>
            <w:tcW w:type="dxa" w:w="259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触发时机</w:t>
            </w:r>
          </w:p>
        </w:tc>
        <w:tc>
          <w:tcPr>
            <w:tcW w:type="dxa" w:w="273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关键字段</w:t>
            </w:r>
          </w:p>
        </w:tc>
        <w:tc>
          <w:tcPr>
            <w:tcW w:type="dxa" w:w="158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用途</w:t>
            </w:r>
          </w:p>
        </w:tc>
      </w:tr>
      <w:tr>
        <w:trPr>
          <w:trHeight w:hRule="atLeast"/>
          <w:cantSplit w:val="true"/>
        </w:trPr>
        <w:tc>
          <w:tcPr>
            <w:tcW w:type="dxa" w:w="244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org_import_validated</w:t>
            </w:r>
          </w:p>
        </w:tc>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组织导入校验结束</w:t>
            </w:r>
          </w:p>
        </w:tc>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batch_id,total,error_count,hash</w:t>
            </w:r>
          </w:p>
        </w:tc>
        <w:tc>
          <w:tcPr>
            <w:tcW w:type="dxa" w:w="15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上线数据质量</w:t>
            </w:r>
          </w:p>
        </w:tc>
      </w:tr>
      <w:tr>
        <w:trPr>
          <w:trHeight w:hRule="atLeast"/>
          <w:cantSplit w:val="true"/>
        </w:trPr>
        <w:tc>
          <w:tcPr>
            <w:tcW w:type="dxa" w:w="244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opening_balance_published</w:t>
            </w:r>
          </w:p>
        </w:tc>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期初工时发布</w:t>
            </w:r>
          </w:p>
        </w:tc>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batch_id,account_count,total_hours</w:t>
            </w:r>
          </w:p>
        </w:tc>
        <w:tc>
          <w:tcPr>
            <w:tcW w:type="dxa" w:w="15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余额迁移勾稽</w:t>
            </w:r>
          </w:p>
        </w:tc>
      </w:tr>
      <w:tr>
        <w:trPr>
          <w:trHeight w:hRule="atLeast"/>
          <w:cantSplit w:val="true"/>
        </w:trPr>
        <w:tc>
          <w:tcPr>
            <w:tcW w:type="dxa" w:w="244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attendance_recalculated</w:t>
            </w:r>
          </w:p>
        </w:tc>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员工日重算完成</w:t>
            </w:r>
          </w:p>
        </w:tc>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employee_id,date,reason,version,result</w:t>
            </w:r>
          </w:p>
        </w:tc>
        <w:tc>
          <w:tcPr>
            <w:tcW w:type="dxa" w:w="15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规则质量和追溯</w:t>
            </w:r>
          </w:p>
        </w:tc>
      </w:tr>
      <w:tr>
        <w:trPr>
          <w:trHeight w:hRule="atLeast"/>
          <w:cantSplit w:val="true"/>
        </w:trPr>
        <w:tc>
          <w:tcPr>
            <w:tcW w:type="dxa" w:w="244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exception_resolved</w:t>
            </w:r>
          </w:p>
        </w:tc>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异常关闭</w:t>
            </w:r>
          </w:p>
        </w:tc>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type,source,resolution,elapsed_hours</w:t>
            </w:r>
          </w:p>
        </w:tc>
        <w:tc>
          <w:tcPr>
            <w:tcW w:type="dxa" w:w="15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处理效率</w:t>
            </w:r>
          </w:p>
        </w:tc>
      </w:tr>
      <w:tr>
        <w:trPr>
          <w:trHeight w:hRule="atLeast"/>
          <w:cantSplit w:val="true"/>
        </w:trPr>
        <w:tc>
          <w:tcPr>
            <w:tcW w:type="dxa" w:w="244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attendance_month_closed</w:t>
            </w:r>
          </w:p>
        </w:tc>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月结关闭</w:t>
            </w:r>
          </w:p>
        </w:tc>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month,version,employee_count,hash</w:t>
            </w:r>
          </w:p>
        </w:tc>
        <w:tc>
          <w:tcPr>
            <w:tcW w:type="dxa" w:w="15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月结及时与一致性</w:t>
            </w:r>
          </w:p>
        </w:tc>
      </w:tr>
      <w:tr>
        <w:trPr>
          <w:trHeight w:hRule="atLeast"/>
          <w:cantSplit w:val="true"/>
        </w:trPr>
        <w:tc>
          <w:tcPr>
            <w:tcW w:type="dxa" w:w="244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time_ledger_adjusted</w:t>
            </w:r>
          </w:p>
        </w:tc>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余额调整/冲销</w:t>
            </w:r>
          </w:p>
        </w:tc>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account,type,hours,reason</w:t>
            </w:r>
          </w:p>
        </w:tc>
        <w:tc>
          <w:tcPr>
            <w:tcW w:type="dxa" w:w="15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台账审计</w:t>
            </w:r>
          </w:p>
        </w:tc>
      </w:tr>
      <w:tr>
        <w:trPr>
          <w:trHeight w:hRule="atLeast"/>
          <w:cantSplit w:val="true"/>
        </w:trPr>
        <w:tc>
          <w:tcPr>
            <w:tcW w:type="dxa" w:w="244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location_viewed</w:t>
            </w:r>
          </w:p>
        </w:tc>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查看打卡位置</w:t>
            </w:r>
          </w:p>
        </w:tc>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viewer,employee,punch_id,reason,result</w:t>
            </w:r>
          </w:p>
        </w:tc>
        <w:tc>
          <w:tcPr>
            <w:tcW w:type="dxa" w:w="15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敏感访问审计</w:t>
            </w:r>
          </w:p>
        </w:tc>
      </w:tr>
      <w:tr>
        <w:trPr>
          <w:trHeight w:hRule="atLeast"/>
          <w:cantSplit w:val="true"/>
        </w:trPr>
        <w:tc>
          <w:tcPr>
            <w:tcW w:type="dxa" w:w="244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payroll_access_denied</w:t>
            </w:r>
          </w:p>
        </w:tc>
        <w:tc>
          <w:tcPr>
            <w:tcW w:type="dxa" w:w="259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关闭模块被请求</w:t>
            </w:r>
          </w:p>
        </w:tc>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subject,route,reason,request_id</w:t>
            </w:r>
          </w:p>
        </w:tc>
        <w:tc>
          <w:tcPr>
            <w:tcW w:type="dxa" w:w="158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验证前台隐藏和防越权</w:t>
            </w:r>
          </w:p>
        </w:tc>
      </w:tr>
    </w:tbl>
    <w:p>
      <w:pPr>
        <w:spacing w:after="40"/>
      </w:pPr>
    </w:p>
    <w:p>
      <w:pPr>
        <w:pStyle w:val="Heading1"/>
        <w:keepNext/>
      </w:pPr>
      <w:r>
        <w:rPr>
          <w:rFonts w:ascii="PingFang SC" w:hAnsi="PingFang SC" w:eastAsia="PingFang SC" w:cs="PingFang SC"/>
        </w:rPr>
        <w:t>12. 验收标准、计划与风险</w:t>
      </w:r>
    </w:p>
    <w:p>
      <w:pPr>
        <w:pStyle w:val="Heading2"/>
        <w:keepNext/>
      </w:pPr>
      <w:r>
        <w:rPr>
          <w:rFonts w:ascii="PingFang SC" w:hAnsi="PingFang SC" w:eastAsia="PingFang SC" w:cs="PingFang SC"/>
        </w:rPr>
        <w:t>12.1 年假金标准</w:t>
      </w:r>
    </w:p>
    <w:tbl>
      <w:tblPr>
        <w:tblStyle w:val="TableGrid"/>
        <w:tblW w:type="dxa" w:w="9360"/>
        <w:jc w:val="left"/>
        <w:tblLayout w:type="fixed"/>
        <w:tblLook w:firstColumn="1" w:firstRow="1" w:lastColumn="0" w:lastRow="0" w:noHBand="0" w:noVBand="1" w:val="04A0"/>
        <w:tblInd w:type="dxa" w:w="120"/>
      </w:tblPr>
      <w:tblGrid>
        <w:gridCol w:w="2304"/>
        <w:gridCol w:w="3600"/>
        <w:gridCol w:w="3456"/>
      </w:tblGrid>
      <w:tr>
        <w:trPr>
          <w:tblHeader w:val="true"/>
          <w:cantSplit w:val="true"/>
        </w:trPr>
        <w:tc>
          <w:tcPr>
            <w:tcW w:type="dxa" w:w="230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案例</w:t>
            </w:r>
          </w:p>
        </w:tc>
        <w:tc>
          <w:tcPr>
            <w:tcW w:type="dxa" w:w="360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入职/计算日期</w:t>
            </w:r>
          </w:p>
        </w:tc>
        <w:tc>
          <w:tcPr>
            <w:tcW w:type="dxa" w:w="345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预期</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周年日前一天</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2025-07-22 / 2026-07-21</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0 天 / 0 小时</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一周年当天</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2025-07-22 / 2026-07-22</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5 天 / 40 小时</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十周年前一天</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2016-07-21 / 2026-07-20</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5 天 / 40 小时</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十周年当天</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2016-07-21 / 2026-07-21</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10 天 / 80 小时</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二十周年当天</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2006-07-21 / 2026-07-21</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15 天 / 120 小时</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累计工龄含外部</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本公司 2 年、公司外已确认 12 年，累计 14 年</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10 天 / 80 小时</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门槛优先</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本公司 6 个月、累计工龄 15 年</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仍为 0 天 / 0 小时</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门槛可配置</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资格门槛改为 24 个月</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第 1 个周年不发放；第 2 个周年才按累计工龄档位发放</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周期有效期</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2026-07-22 周年发放</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有效至 2027-07-21；2027-07-22 剩余量失效并生成新周期发放</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周期中途升档</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本周期中途累计工龄达到 10 年</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当日不补差；下一周年按 10 年档位发放 80 小时</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二次入职</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2026-07-21 重新入职；HR 维护累计工龄 12 年</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2027-07-20 仍无资格；2027-07-21 按累计工龄发放 80 小时</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闰年边界</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2023-03-01 / 2024-02-29</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0 小时；2024-03-01 才为 40 小时</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2 月 29 日入职</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2024-02-29 / 2025-02-28</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按默认周年规则获得 40 小时</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未来入职</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2026-08-01 / 2026-07-21</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数据校验错误，不返回额度</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半日实际工时</w:t>
            </w:r>
          </w:p>
        </w:tc>
        <w:tc>
          <w:tcPr>
            <w:tcW w:type="dxa" w:w="360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大连上午/下午各请 0.5 天</w:t>
            </w:r>
          </w:p>
        </w:tc>
        <w:tc>
          <w:tcPr>
            <w:tcW w:type="dxa" w:w="34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分别扣 4.5 / 3.5 小时</w:t>
            </w:r>
          </w:p>
        </w:tc>
      </w:tr>
    </w:tbl>
    <w:p>
      <w:pPr>
        <w:spacing w:after="40"/>
      </w:pPr>
    </w:p>
    <w:p>
      <w:pPr>
        <w:pStyle w:val="Heading2"/>
        <w:keepNext/>
      </w:pPr>
      <w:r>
        <w:rPr>
          <w:rFonts w:ascii="PingFang SC" w:hAnsi="PingFang SC" w:eastAsia="PingFang SC" w:cs="PingFang SC"/>
        </w:rPr>
        <w:t>12.2 考勤金标准</w:t>
      </w:r>
    </w:p>
    <w:tbl>
      <w:tblPr>
        <w:tblStyle w:val="TableGrid"/>
        <w:tblW w:type="dxa" w:w="9360"/>
        <w:jc w:val="left"/>
        <w:tblLayout w:type="fixed"/>
        <w:tblLook w:firstColumn="1" w:firstRow="1" w:lastColumn="0" w:lastRow="0" w:noHBand="0" w:noVBand="1" w:val="04A0"/>
        <w:tblInd w:type="dxa" w:w="120"/>
      </w:tblPr>
      <w:tblGrid>
        <w:gridCol w:w="1656"/>
        <w:gridCol w:w="7704"/>
      </w:tblGrid>
      <w:tr>
        <w:trPr>
          <w:tblHeader w:val="true"/>
          <w:cantSplit w:val="true"/>
        </w:trPr>
        <w:tc>
          <w:tcPr>
            <w:tcW w:type="dxa" w:w="165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AC</w:t>
            </w:r>
          </w:p>
        </w:tc>
        <w:tc>
          <w:tcPr>
            <w:tcW w:type="dxa" w:w="770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验收条件</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AC-ATT-01</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当月第一次迟到 10 分钟：迟到计罚 0；第二次迟到 10 分钟：计 10 分钟。</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AC-ATT-02</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当月第一次迟到 16 分钟：计 16 分钟，且未消耗 15 分钟内豁免。</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AC-ATT-02A</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员工月中更换考勤班组后，当月已使用的迟到豁免次数不重置；下个自然月自动重置。</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AC-ATT-02B</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两名员工当月各自第一次迟到 15 分钟均可独立豁免；迟到 15 分 01 秒或 16 分钟均不命中。</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AC-ATT-02C</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把班组每月豁免次数改为 0 或 2 后，生效日期后的计算分别不豁免或可豁免前两次合格事件。</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AC-ATT-03</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外出 15:00-18:00，15:00 离开：该时段正常；14:50 离开：产生 10 分钟未覆盖。</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AC-ATT-04</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工作日实际加班 18:00-20:00，有有效单据且完整跨晚餐窗口：认可加班 1.5 小时。</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AC-ATT-05</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临时加班结束后 47:59 提交且通过：可核算；48:01 提交：认可加班为 0。</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AC-ATT-06</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晚退但无加班单：原始晚退可查，延长在岗可统计，认可/计薪/调休加班均为 0。</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AC-ATT-07</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周末加班完整跨午餐、晚餐窗口，分别扣 1 小时和 0.5 小时，结果不得小于 0。</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AC-ATT-08</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次日 02:00 打卡在跨日截止前：作为前一日下班卡；次日 08:30 的另一条卡作为次日上班卡。</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AC-ATT-09</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免打卡 09:00-12:00 已通过：该段无卡仍正常；12:00 后无证据继续计算异常。</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AC-ATT-10</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请假与外出时段重叠：导入/提交时标记冲突，不静默覆盖。</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AC-ATT-11</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缺卡后第 7 个自然日内补签通过：自动重算；超过期限员工不可自行补签。</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AC-ATT-11C</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补签在第 7 个自然日内首次提交、第 9 日才审批通过：不按逾期直接定案，审批后自动重算并保留提交/审批时间。</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AC-ATT-11A</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上午工作段只有上班卡且逾期未补：默认仅上午段转旷工，下午有效出勤不受影响。</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AC-ATT-11B</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同一案例把班组策略改为“整日旷工”并在生效后计算：整日转旷工，结果保存命中的策略版本。</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AC-ATT-12</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确认旷工工时 &gt;0：当月全勤资格为否；不因薪资前台关闭而省略该标志。</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AC-ATT-13</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义务加班记录认可工作时长，但可计薪加班与调休入账均为 0。</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AC-ATT-14</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月结后到达新打卡或撤销单据：关闭版本不变，只生成差异。</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AC-ATT-15</w:t>
            </w:r>
          </w:p>
        </w:tc>
        <w:tc>
          <w:tcPr>
            <w:tcW w:type="dxa" w:w="77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所有初始班组在工作日、周末和节假日均启用晚餐扣减；完整跨越各自晚餐窗口时只扣一次。</w:t>
            </w:r>
          </w:p>
        </w:tc>
      </w:tr>
    </w:tbl>
    <w:p>
      <w:pPr>
        <w:spacing w:after="40"/>
      </w:pPr>
    </w:p>
    <w:p>
      <w:pPr>
        <w:pStyle w:val="Heading2"/>
        <w:keepNext/>
      </w:pPr>
      <w:r>
        <w:rPr>
          <w:rFonts w:ascii="PingFang SC" w:hAnsi="PingFang SC" w:eastAsia="PingFang SC" w:cs="PingFang SC"/>
        </w:rPr>
        <w:t>12.3 导入、权限与隐藏模块金标准</w:t>
      </w:r>
    </w:p>
    <w:tbl>
      <w:tblPr>
        <w:tblStyle w:val="TableGrid"/>
        <w:tblW w:type="dxa" w:w="9360"/>
        <w:jc w:val="left"/>
        <w:tblLayout w:type="fixed"/>
        <w:tblLook w:firstColumn="1" w:firstRow="1" w:lastColumn="0" w:lastRow="0" w:noHBand="0" w:noVBand="1" w:val="04A0"/>
        <w:tblInd w:type="dxa" w:w="120"/>
      </w:tblPr>
      <w:tblGrid>
        <w:gridCol w:w="1728"/>
        <w:gridCol w:w="7632"/>
      </w:tblGrid>
      <w:tr>
        <w:trPr>
          <w:tblHeader w:val="true"/>
          <w:cantSplit w:val="true"/>
        </w:trPr>
        <w:tc>
          <w:tcPr>
            <w:tcW w:type="dxa" w:w="172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AC</w:t>
            </w:r>
          </w:p>
        </w:tc>
        <w:tc>
          <w:tcPr>
            <w:tcW w:type="dxa" w:w="763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验收条件</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AC-IMP-01</w:t>
            </w:r>
          </w:p>
        </w:tc>
        <w:tc>
          <w:tcPr>
            <w:tcW w:type="dxa" w:w="76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期初工时批次含 1 条错误时整批不发布；修正后发布的余额与流水重算一致。</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AC-IMP-02</w:t>
            </w:r>
          </w:p>
        </w:tc>
        <w:tc>
          <w:tcPr>
            <w:tcW w:type="dxa" w:w="76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同一期初批次重复上传不重复入账；已消费余额撤销时生成反向流水。</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AC-AUTH-01</w:t>
            </w:r>
          </w:p>
        </w:tc>
        <w:tc>
          <w:tcPr>
            <w:tcW w:type="dxa" w:w="76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OA 不可用时，已启用员工仍可使用神州 HR 本地账号密码登录；系统不请求或校验 OA 密码。</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AC-AUTH-02</w:t>
            </w:r>
          </w:p>
        </w:tc>
        <w:tc>
          <w:tcPr>
            <w:tcW w:type="dxa" w:w="76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临时密码首次登录必须修改；连续失败达到配置阈值后锁定；员工停用后旧会话和新登录均失效。</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AC-SEC-01</w:t>
            </w:r>
          </w:p>
        </w:tc>
        <w:tc>
          <w:tcPr>
            <w:tcW w:type="dxa" w:w="76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员工改 URL 或 employee_id 不能查看他人明细；部门负责人不能跨本地数据范围。</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AC-SEC-02</w:t>
            </w:r>
          </w:p>
        </w:tc>
        <w:tc>
          <w:tcPr>
            <w:tcW w:type="dxa" w:w="76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无位置权限的管理者看不到地图入口；有权限查看时必须填写原因并产生审计。</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AC-SEC-03</w:t>
            </w:r>
          </w:p>
        </w:tc>
        <w:tc>
          <w:tcPr>
            <w:tcW w:type="dxa" w:w="76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签到排行接口不返回原始打卡 ID、精确坐标、设备、请假原因或未签到名单。</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AC-PAY-06</w:t>
            </w:r>
          </w:p>
        </w:tc>
        <w:tc>
          <w:tcPr>
            <w:tcW w:type="dxa" w:w="76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在所有角色和常用搜索/导出中，薪资页面和字段均不可发现；直接 API 请求被拒绝。</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AC-CLOSE-01</w:t>
            </w:r>
          </w:p>
        </w:tc>
        <w:tc>
          <w:tcPr>
            <w:tcW w:type="dxa" w:w="76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存在未映射员工、班组缺失、证据冲突或未解决异常时不得月结。</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AC-CLOSE-02</w:t>
            </w:r>
          </w:p>
        </w:tc>
        <w:tc>
          <w:tcPr>
            <w:tcW w:type="dxa" w:w="76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同一输入和规则重复全月计算 3 次，日结果、余额、汇总和结果哈希一致。</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AC-LEAVE-01</w:t>
            </w:r>
          </w:p>
        </w:tc>
        <w:tc>
          <w:tcPr>
            <w:tcW w:type="dxa" w:w="76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新建假别默认选择工作日：周五至下周一请假只扣周五、周一计划工作段；切换自然日策略后连续计 4 天。</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AC-LEAVE-02</w:t>
            </w:r>
          </w:p>
        </w:tc>
        <w:tc>
          <w:tcPr>
            <w:tcW w:type="dxa" w:w="76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假别或年假策略发布新版本后只影响生效日及以后；已月结结果不被静默改写。</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AC-CFG-01</w:t>
            </w:r>
          </w:p>
        </w:tc>
        <w:tc>
          <w:tcPr>
            <w:tcW w:type="dxa" w:w="76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任一考勤/假期策略发布前均可校验和试算；计算结果能显示适用范围、规则版本和关键参数快照。</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AC-CFG-02</w:t>
            </w:r>
          </w:p>
        </w:tc>
        <w:tc>
          <w:tcPr>
            <w:tcW w:type="dxa" w:w="763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规则生效期重叠、日期空档或数值越界时阻止发布；关闭月份只生成差异，不直接覆盖。</w:t>
            </w:r>
          </w:p>
        </w:tc>
      </w:tr>
    </w:tbl>
    <w:p>
      <w:pPr>
        <w:spacing w:after="40"/>
      </w:pPr>
    </w:p>
    <w:p>
      <w:pPr>
        <w:pStyle w:val="Heading2"/>
        <w:keepNext/>
      </w:pPr>
      <w:r>
        <w:rPr>
          <w:rFonts w:ascii="PingFang SC" w:hAnsi="PingFang SC" w:eastAsia="PingFang SC" w:cs="PingFang SC"/>
        </w:rPr>
        <w:t>12.4 已确认配置基线与实施输入</w:t>
      </w:r>
    </w:p>
    <w:tbl>
      <w:tblPr>
        <w:tblStyle w:val="TableGrid"/>
        <w:tblW w:type="dxa" w:w="9360"/>
        <w:jc w:val="left"/>
        <w:tblLayout w:type="fixed"/>
        <w:tblLook w:firstColumn="1" w:firstRow="1" w:lastColumn="0" w:lastRow="0" w:noHBand="0" w:noVBand="1" w:val="04A0"/>
        <w:tblInd w:type="dxa" w:w="120"/>
      </w:tblPr>
      <w:tblGrid>
        <w:gridCol w:w="1008"/>
        <w:gridCol w:w="2952"/>
        <w:gridCol w:w="3096"/>
        <w:gridCol w:w="2304"/>
      </w:tblGrid>
      <w:tr>
        <w:trPr>
          <w:tblHeader w:val="true"/>
          <w:cantSplit w:val="true"/>
        </w:trPr>
        <w:tc>
          <w:tcPr>
            <w:tcW w:type="dxa" w:w="100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编号</w:t>
            </w:r>
          </w:p>
        </w:tc>
        <w:tc>
          <w:tcPr>
            <w:tcW w:type="dxa" w:w="295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已确认基线</w:t>
            </w:r>
          </w:p>
        </w:tc>
        <w:tc>
          <w:tcPr>
            <w:tcW w:type="dxa" w:w="309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系统配置方式</w:t>
            </w:r>
          </w:p>
        </w:tc>
        <w:tc>
          <w:tcPr>
            <w:tcW w:type="dxa" w:w="230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项目初始值</w:t>
            </w:r>
          </w:p>
        </w:tc>
      </w:tr>
      <w:tr>
        <w:trPr>
          <w:trHeight w:hRule="atLeast"/>
          <w:cantSplit w:val="true"/>
        </w:trPr>
        <w:tc>
          <w:tcPr>
            <w:tcW w:type="dxa" w:w="100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C-01</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本系统账号密码独立登录</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公司级认证策略</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本地账号密码；不依赖 OA/SSO</w:t>
            </w:r>
          </w:p>
        </w:tc>
      </w:tr>
      <w:tr>
        <w:trPr>
          <w:trHeight w:hRule="atLeast"/>
          <w:cantSplit w:val="true"/>
        </w:trPr>
        <w:tc>
          <w:tcPr>
            <w:tcW w:type="dxa" w:w="100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C-02</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夏令/冬令按考勤班组管理</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班组内季节班次版本和生效区间</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总部组 05-01 切夏令、10-01 切冬令</w:t>
            </w:r>
          </w:p>
        </w:tc>
      </w:tr>
      <w:tr>
        <w:trPr>
          <w:trHeight w:hRule="atLeast"/>
          <w:cantSplit w:val="true"/>
        </w:trPr>
        <w:tc>
          <w:tcPr>
            <w:tcW w:type="dxa" w:w="100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C-03</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所有人员均适用晚餐扣减</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班组餐扣规则：启用、日类型、窗口、分钟、触发方式</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全部初始班组启用；18:00-18:30；完整覆盖；30 分钟</w:t>
            </w:r>
          </w:p>
        </w:tc>
      </w:tr>
      <w:tr>
        <w:trPr>
          <w:trHeight w:hRule="atLeast"/>
          <w:cantSplit w:val="true"/>
        </w:trPr>
        <w:tc>
          <w:tcPr>
            <w:tcW w:type="dxa" w:w="100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C-04</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每名员工每月 1 次 15 分钟内迟到机会</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班组迟到策略；按员工自然月计数</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1 次；&lt;=15 分钟；超限不消耗</w:t>
            </w:r>
          </w:p>
        </w:tc>
      </w:tr>
      <w:tr>
        <w:trPr>
          <w:trHeight w:hRule="atLeast"/>
          <w:cantSplit w:val="true"/>
        </w:trPr>
        <w:tc>
          <w:tcPr>
            <w:tcW w:type="dxa" w:w="100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C-05</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单边缺卡逾期处理</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补卡期限和逾期动作按班组配置</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7 个自然日；仅缺卡工作段转旷工</w:t>
            </w:r>
          </w:p>
        </w:tc>
      </w:tr>
      <w:tr>
        <w:trPr>
          <w:trHeight w:hRule="atLeast"/>
          <w:cantSplit w:val="true"/>
        </w:trPr>
        <w:tc>
          <w:tcPr>
            <w:tcW w:type="dxa" w:w="100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C-06</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所有假别均可配置选择</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版本化假别策略</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新建假别默认工作日；各假别可切自然日/小时</w:t>
            </w:r>
          </w:p>
        </w:tc>
      </w:tr>
      <w:tr>
        <w:trPr>
          <w:trHeight w:hRule="atLeast"/>
          <w:cantSplit w:val="true"/>
        </w:trPr>
        <w:tc>
          <w:tcPr>
            <w:tcW w:type="dxa" w:w="100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C-07</w:t>
            </w:r>
          </w:p>
        </w:tc>
        <w:tc>
          <w:tcPr>
            <w:tcW w:type="dxa" w:w="295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年假周年发放、下周年前有效、二次入职重置</w:t>
            </w:r>
          </w:p>
        </w:tc>
        <w:tc>
          <w:tcPr>
            <w:tcW w:type="dxa" w:w="30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版本化年假策略；资格与累计工龄档位分开</w:t>
            </w:r>
          </w:p>
        </w:tc>
        <w:tc>
          <w:tcPr>
            <w:tcW w:type="dxa" w:w="23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4"/>
              </w:rPr>
              <w:t>门槛启用且 12 个月；累计工龄 1/10/20 年对应 40/80/120 小时</w:t>
            </w:r>
          </w:p>
        </w:tc>
      </w:tr>
    </w:tbl>
    <w:p>
      <w:pPr>
        <w:spacing w:after="40"/>
      </w:pPr>
    </w:p>
    <w:p>
      <w:pPr>
        <w:spacing w:before="100" w:after="160" w:line="264" w:lineRule="auto"/>
        <w:shd w:fill="F5F9FC"/>
        <w:pBdr>
          <w:left w:val="single" w:sz="18" w:space="8" w:color="2E74B5"/>
        </w:pBdr>
        <w:ind w:left="160" w:right="160"/>
        <w:keepLines/>
      </w:pPr>
      <w:r>
        <w:rPr>
          <w:rFonts w:ascii="PingFang SC" w:hAnsi="PingFang SC" w:eastAsia="PingFang SC" w:cs="PingFang SC"/>
          <w:b/>
          <w:color w:val="2E74B5"/>
          <w:sz w:val="21"/>
        </w:rPr>
        <w:t xml:space="preserve">不阻塞设计的实施输入  </w:t>
      </w:r>
      <w:r>
        <w:rPr>
          <w:rFonts w:ascii="PingFang SC" w:hAnsi="PingFang SC" w:eastAsia="PingFang SC" w:cs="PingFang SC"/>
          <w:color w:val="1F2937"/>
          <w:sz w:val="21"/>
        </w:rPr>
        <w:t>产品规则已可按上述默认值进入设计和开发。接口详细设计前仍需提供致远 OA 考勤业务单据样本；在没有新指示时，按“OA 继续审批、本系统只读接入”实施。班组 UAT 前再导入最终班次/休息段、餐窗和假别制度值，这些属于初始配置数据，不再改变产品模型。</w:t>
      </w:r>
    </w:p>
    <w:p>
      <w:pPr>
        <w:pStyle w:val="Heading2"/>
        <w:keepNext/>
      </w:pPr>
      <w:r>
        <w:rPr>
          <w:rFonts w:ascii="PingFang SC" w:hAnsi="PingFang SC" w:eastAsia="PingFang SC" w:cs="PingFang SC"/>
        </w:rPr>
        <w:t>12.5 实施阶段建议</w:t>
      </w:r>
    </w:p>
    <w:tbl>
      <w:tblPr>
        <w:tblStyle w:val="TableGrid"/>
        <w:tblW w:type="dxa" w:w="9360"/>
        <w:jc w:val="left"/>
        <w:tblLayout w:type="fixed"/>
        <w:tblLook w:firstColumn="1" w:firstRow="1" w:lastColumn="0" w:lastRow="0" w:noHBand="0" w:noVBand="1" w:val="04A0"/>
        <w:tblInd w:type="dxa" w:w="120"/>
      </w:tblPr>
      <w:tblGrid>
        <w:gridCol w:w="2088"/>
        <w:gridCol w:w="1512"/>
        <w:gridCol w:w="5760"/>
      </w:tblGrid>
      <w:tr>
        <w:trPr>
          <w:tblHeader w:val="true"/>
          <w:cantSplit w:val="true"/>
        </w:trPr>
        <w:tc>
          <w:tcPr>
            <w:tcW w:type="dxa" w:w="208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阶段</w:t>
            </w:r>
          </w:p>
        </w:tc>
        <w:tc>
          <w:tcPr>
            <w:tcW w:type="dxa" w:w="151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建议周期</w:t>
            </w:r>
          </w:p>
        </w:tc>
        <w:tc>
          <w:tcPr>
            <w:tcW w:type="dxa" w:w="576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主要交付</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阶段 0：规则冻结</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1-2 周</w:t>
            </w:r>
          </w:p>
        </w:tc>
        <w:tc>
          <w:tcPr>
            <w:tcW w:type="dxa" w:w="57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Excel 模板、班组表、OA 单据映射、金标准和权限矩阵签字</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阶段 1：基础底座</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2 周</w:t>
            </w:r>
          </w:p>
        </w:tc>
        <w:tc>
          <w:tcPr>
            <w:tcW w:type="dxa" w:w="57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组织/员工/班组/班次/日历、期初导入和权限</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阶段 2：数据与核算</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3 周</w:t>
            </w:r>
          </w:p>
        </w:tc>
        <w:tc>
          <w:tcPr>
            <w:tcW w:type="dxa" w:w="57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得力/OA 接入、标准化、日结果、异常和重算</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阶段 3：假期与月结</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2 周</w:t>
            </w:r>
          </w:p>
        </w:tc>
        <w:tc>
          <w:tcPr>
            <w:tcW w:type="dxa" w:w="57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时间账户、年假、期初工时、月结/反月结、报表</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阶段 4：前端与试运行</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2 周</w:t>
            </w:r>
          </w:p>
        </w:tc>
        <w:tc>
          <w:tcPr>
            <w:tcW w:type="dxa" w:w="57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员工端、看板、排行、制度、反馈、多端适配</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阶段 5：P0-B</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并行 1-2 周</w:t>
            </w:r>
          </w:p>
        </w:tc>
        <w:tc>
          <w:tcPr>
            <w:tcW w:type="dxa" w:w="57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7"/>
              </w:rPr>
              <w:t>薪资后端对象、考勤快照映射、隐藏与安全验收</w:t>
            </w:r>
          </w:p>
        </w:tc>
      </w:tr>
    </w:tbl>
    <w:p>
      <w:pPr>
        <w:spacing w:after="40"/>
      </w:pPr>
    </w:p>
    <w:p>
      <w:pPr>
        <w:spacing w:after="120"/>
      </w:pPr>
      <w:r>
        <w:rPr>
          <w:rFonts w:ascii="PingFang SC" w:hAnsi="PingFang SC" w:eastAsia="PingFang SC" w:cs="PingFang SC"/>
          <w:i w:val="0"/>
          <w:color w:val="1F2937"/>
          <w:sz w:val="22"/>
        </w:rPr>
        <w:t>周期为建议估算，默认产品 1、设计 1、前端 2、后端 2、测试 2，并要求客户 HR/考勤负责人参与规则确认。若 OA/得力联调环境、正式班次表或员工映射样本未就绪，相应阶段顺延。</w:t>
      </w:r>
    </w:p>
    <w:p>
      <w:pPr>
        <w:pStyle w:val="Heading2"/>
        <w:keepNext/>
      </w:pPr>
      <w:r>
        <w:rPr>
          <w:rFonts w:ascii="PingFang SC" w:hAnsi="PingFang SC" w:eastAsia="PingFang SC" w:cs="PingFang SC"/>
        </w:rPr>
        <w:t>12.6 主要风险与应对</w:t>
      </w:r>
    </w:p>
    <w:tbl>
      <w:tblPr>
        <w:tblStyle w:val="TableGrid"/>
        <w:tblW w:type="dxa" w:w="9360"/>
        <w:jc w:val="left"/>
        <w:tblLayout w:type="fixed"/>
        <w:tblLook w:firstColumn="1" w:firstRow="1" w:lastColumn="0" w:lastRow="0" w:noHBand="0" w:noVBand="1" w:val="04A0"/>
        <w:tblInd w:type="dxa" w:w="120"/>
      </w:tblPr>
      <w:tblGrid>
        <w:gridCol w:w="3024"/>
        <w:gridCol w:w="1656"/>
        <w:gridCol w:w="4680"/>
      </w:tblGrid>
      <w:tr>
        <w:trPr>
          <w:tblHeader w:val="true"/>
          <w:cantSplit w:val="true"/>
        </w:trPr>
        <w:tc>
          <w:tcPr>
            <w:tcW w:type="dxa" w:w="302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风险</w:t>
            </w:r>
          </w:p>
        </w:tc>
        <w:tc>
          <w:tcPr>
            <w:tcW w:type="dxa" w:w="165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可能性/影响</w:t>
            </w:r>
          </w:p>
        </w:tc>
        <w:tc>
          <w:tcPr>
            <w:tcW w:type="dxa" w:w="468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应对</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OA 单据字段/状态不完整</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中/高</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先用脱敏样本冻结逻辑映射；未知状态隔离，不猜测</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独立组织与 OA 部门逐渐不一致</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高/中</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考勤归属只看本地任职；OA 部门仅核对，不反向授权</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班组配置过多又回到个人特例</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中/中</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专用组必须有业务原因、负责人、生效期和失效期；定期合并重复组</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班次、餐窗等初始配置数据不完整</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中/高</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用模板、规则校验和新旧试算冻结；数据未通过的班组不得投入正式月结</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期初余额重复授予</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中/高</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切换日、幂等键、导入前后差额和批次冲销</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年假资格门槛存在合规差异</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高/高</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累计工龄档位照常计算；本公司满 1 年门槛由 HR/法务书面确认</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薪资虽隐藏但接口泄露</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中/高</w:t>
            </w:r>
          </w:p>
        </w:tc>
        <w:tc>
          <w:tcPr>
            <w:tcW w:type="dxa" w:w="468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独立权限/DTO、默认关闭、改 URL/API/导出/缓存专项测试</w:t>
            </w:r>
          </w:p>
        </w:tc>
      </w:tr>
    </w:tbl>
    <w:p>
      <w:pPr>
        <w:spacing w:after="40"/>
      </w:pPr>
    </w:p>
    <w:p>
      <w:pPr>
        <w:pStyle w:val="Heading1"/>
        <w:keepNext/>
      </w:pPr>
      <w:r>
        <w:rPr>
          <w:rFonts w:ascii="PingFang SC" w:hAnsi="PingFang SC" w:eastAsia="PingFang SC" w:cs="PingFang SC"/>
        </w:rPr>
        <w:t>附录A. 导入字段、原因码与需求追踪</w:t>
      </w:r>
    </w:p>
    <w:p>
      <w:pPr>
        <w:pStyle w:val="Heading2"/>
        <w:keepNext/>
      </w:pPr>
      <w:r>
        <w:rPr>
          <w:rFonts w:ascii="PingFang SC" w:hAnsi="PingFang SC" w:eastAsia="PingFang SC" w:cs="PingFang SC"/>
        </w:rPr>
        <w:t>A.1 组织与员工期初模板</w:t>
      </w:r>
    </w:p>
    <w:tbl>
      <w:tblPr>
        <w:tblStyle w:val="TableGrid"/>
        <w:tblW w:type="dxa" w:w="9360"/>
        <w:jc w:val="left"/>
        <w:tblLayout w:type="fixed"/>
        <w:tblLook w:firstColumn="1" w:firstRow="1" w:lastColumn="0" w:lastRow="0" w:noHBand="0" w:noVBand="1" w:val="04A0"/>
        <w:tblInd w:type="dxa" w:w="120"/>
      </w:tblPr>
      <w:tblGrid>
        <w:gridCol w:w="1296"/>
        <w:gridCol w:w="5904"/>
        <w:gridCol w:w="2160"/>
      </w:tblGrid>
      <w:tr>
        <w:trPr>
          <w:tblHeader w:val="true"/>
          <w:cantSplit w:val="true"/>
        </w:trPr>
        <w:tc>
          <w:tcPr>
            <w:tcW w:type="dxa" w:w="129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Sheet</w:t>
            </w:r>
          </w:p>
        </w:tc>
        <w:tc>
          <w:tcPr>
            <w:tcW w:type="dxa" w:w="590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字段</w:t>
            </w:r>
          </w:p>
        </w:tc>
        <w:tc>
          <w:tcPr>
            <w:tcW w:type="dxa" w:w="216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必填/说明</w:t>
            </w:r>
          </w:p>
        </w:tc>
      </w:tr>
      <w:tr>
        <w:trPr>
          <w:trHeight w:hRule="atLeast"/>
          <w:cantSplit w:val="true"/>
        </w:trPr>
        <w:tc>
          <w:tcPr>
            <w:tcW w:type="dxa" w:w="12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组织</w:t>
            </w:r>
          </w:p>
        </w:tc>
        <w:tc>
          <w:tcPr>
            <w:tcW w:type="dxa" w:w="59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org_code, org_name, parent_org_code, org_type, manager_employee_no, sort_no, status, effective_date</w:t>
            </w:r>
          </w:p>
        </w:tc>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编码/名称/类型/状态/生效日必填；根组织 parent 为空</w:t>
            </w:r>
          </w:p>
        </w:tc>
      </w:tr>
      <w:tr>
        <w:trPr>
          <w:trHeight w:hRule="atLeast"/>
          <w:cantSplit w:val="true"/>
        </w:trPr>
        <w:tc>
          <w:tcPr>
            <w:tcW w:type="dxa" w:w="12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岗位</w:t>
            </w:r>
          </w:p>
        </w:tc>
        <w:tc>
          <w:tcPr>
            <w:tcW w:type="dxa" w:w="59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position_code, position_name, org_code, status, effective_date</w:t>
            </w:r>
          </w:p>
        </w:tc>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本期可选；岗位编码唯一</w:t>
            </w:r>
          </w:p>
        </w:tc>
      </w:tr>
      <w:tr>
        <w:trPr>
          <w:trHeight w:hRule="atLeast"/>
          <w:cantSplit w:val="true"/>
        </w:trPr>
        <w:tc>
          <w:tcPr>
            <w:tcW w:type="dxa" w:w="12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员工</w:t>
            </w:r>
          </w:p>
        </w:tc>
        <w:tc>
          <w:tcPr>
            <w:tcW w:type="dxa" w:w="59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employee_no, name, entry_date, prior_cumulative_service_months, employment_status, org_code, position_code, attendance_group_code, username, deli_user_ref, oa_user_ref</w:t>
            </w:r>
          </w:p>
        </w:tc>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员工编号、姓名、当前任职入职日、既往累计工龄月数、状态、组织必填；username 可空后按员工编号生成；oa_user_ref 仅用于单据人员映射，不参与登录</w:t>
            </w:r>
          </w:p>
        </w:tc>
      </w:tr>
      <w:tr>
        <w:trPr>
          <w:trHeight w:hRule="atLeast"/>
          <w:cantSplit w:val="true"/>
        </w:trPr>
        <w:tc>
          <w:tcPr>
            <w:tcW w:type="dxa" w:w="12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5"/>
              </w:rPr>
              <w:t>期初工时</w:t>
            </w:r>
          </w:p>
        </w:tc>
        <w:tc>
          <w:tcPr>
            <w:tcW w:type="dxa" w:w="590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batch_no, employee_no, employee_name, account_type, opening_hours, balance_as_of, valid_until, source_remark</w:t>
            </w:r>
          </w:p>
        </w:tc>
        <w:tc>
          <w:tcPr>
            <w:tcW w:type="dxa" w:w="216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5"/>
              </w:rPr>
              <w:t>详见 8.5；单位固定小时</w:t>
            </w:r>
          </w:p>
        </w:tc>
      </w:tr>
    </w:tbl>
    <w:p>
      <w:pPr>
        <w:spacing w:after="40"/>
      </w:pPr>
    </w:p>
    <w:p>
      <w:pPr>
        <w:pStyle w:val="Heading2"/>
        <w:keepNext/>
      </w:pPr>
      <w:r>
        <w:rPr>
          <w:rFonts w:ascii="PingFang SC" w:hAnsi="PingFang SC" w:eastAsia="PingFang SC" w:cs="PingFang SC"/>
        </w:rPr>
        <w:t>A.2 日结果原因码</w:t>
      </w:r>
    </w:p>
    <w:tbl>
      <w:tblPr>
        <w:tblStyle w:val="TableGrid"/>
        <w:tblW w:type="dxa" w:w="9360"/>
        <w:jc w:val="left"/>
        <w:tblLayout w:type="fixed"/>
        <w:tblLook w:firstColumn="1" w:firstRow="1" w:lastColumn="0" w:lastRow="0" w:noHBand="0" w:noVBand="1" w:val="04A0"/>
        <w:tblInd w:type="dxa" w:w="120"/>
      </w:tblPr>
      <w:tblGrid>
        <w:gridCol w:w="2736"/>
        <w:gridCol w:w="5112"/>
        <w:gridCol w:w="1512"/>
      </w:tblGrid>
      <w:tr>
        <w:trPr>
          <w:tblHeader w:val="true"/>
          <w:cantSplit w:val="true"/>
        </w:trPr>
        <w:tc>
          <w:tcPr>
            <w:tcW w:type="dxa" w:w="273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原因码</w:t>
            </w:r>
          </w:p>
        </w:tc>
        <w:tc>
          <w:tcPr>
            <w:tcW w:type="dxa" w:w="511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含义</w:t>
            </w:r>
          </w:p>
        </w:tc>
        <w:tc>
          <w:tcPr>
            <w:tcW w:type="dxa" w:w="1512"/>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是否阻断月结</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NO_GROUP</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当日无唯一有效考勤班组</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是</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UNMAPPED_EMPLOYEE</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来源人员无法关联本地员工</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是</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MISSING_PUNCH</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工作段缺少上/下班证据，仍在处理期</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是</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EVIDENCE_CONFLICT</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互斥单据或人工调整冲突</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是</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LATE_GRACED</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符合当月生效迟到豁免策略；原始迟到分钟保留</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否</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LATE</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未覆盖的迟到分钟</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否</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EARLY_LEAVE</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未覆盖的早退分钟</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否</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ABSENCE</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处理期限后确认的旷工</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否，但影响全勤</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OVERTIME_NO_FORM</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有延长在岗但无有效加班单</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否，认可加班为 0</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OVERTIME_LATE_SUBMIT</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临时加班首次提交超过 48 小时</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否，认可加班为 0</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EARLY_RETURN_CANDIDATE</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请假期间出现返岗证据但销假未确认</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是</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POST_CLOSE_DIFFERENCE</w:t>
            </w:r>
          </w:p>
        </w:tc>
        <w:tc>
          <w:tcPr>
            <w:tcW w:type="dxa" w:w="51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关闭后来源或规则变化</w:t>
            </w:r>
          </w:p>
        </w:tc>
        <w:tc>
          <w:tcPr>
            <w:tcW w:type="dxa" w:w="1512"/>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否，进入差异流程</w:t>
            </w:r>
          </w:p>
        </w:tc>
      </w:tr>
    </w:tbl>
    <w:p>
      <w:pPr>
        <w:spacing w:after="40"/>
      </w:pPr>
    </w:p>
    <w:p>
      <w:pPr>
        <w:pStyle w:val="Heading2"/>
        <w:keepNext/>
      </w:pPr>
      <w:r>
        <w:rPr>
          <w:rFonts w:ascii="PingFang SC" w:hAnsi="PingFang SC" w:eastAsia="PingFang SC" w:cs="PingFang SC"/>
        </w:rPr>
        <w:t>A.3 客户材料需求追踪</w:t>
      </w:r>
    </w:p>
    <w:tbl>
      <w:tblPr>
        <w:tblStyle w:val="TableGrid"/>
        <w:tblW w:type="dxa" w:w="9360"/>
        <w:jc w:val="left"/>
        <w:tblLayout w:type="fixed"/>
        <w:tblLook w:firstColumn="1" w:firstRow="1" w:lastColumn="0" w:lastRow="0" w:noHBand="0" w:noVBand="1" w:val="04A0"/>
        <w:tblInd w:type="dxa" w:w="120"/>
      </w:tblPr>
      <w:tblGrid>
        <w:gridCol w:w="1296"/>
        <w:gridCol w:w="4824"/>
        <w:gridCol w:w="3240"/>
      </w:tblGrid>
      <w:tr>
        <w:trPr>
          <w:tblHeader w:val="true"/>
          <w:cantSplit w:val="true"/>
        </w:trPr>
        <w:tc>
          <w:tcPr>
            <w:tcW w:type="dxa" w:w="129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材料</w:t>
            </w:r>
          </w:p>
        </w:tc>
        <w:tc>
          <w:tcPr>
            <w:tcW w:type="dxa" w:w="4824"/>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关键需求</w:t>
            </w:r>
          </w:p>
        </w:tc>
        <w:tc>
          <w:tcPr>
            <w:tcW w:type="dxa" w:w="3240"/>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PRD 落点</w:t>
            </w:r>
          </w:p>
        </w:tc>
      </w:tr>
      <w:tr>
        <w:trPr>
          <w:trHeight w:hRule="atLeast"/>
          <w:cantSplit w:val="true"/>
        </w:trPr>
        <w:tc>
          <w:tcPr>
            <w:tcW w:type="dxa" w:w="12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图1</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得力 API、OA、Excel、后台/员工端、权限、定位、手工调整、看板</w:t>
            </w:r>
          </w:p>
        </w:tc>
        <w:tc>
          <w:tcPr>
            <w:tcW w:type="dxa" w:w="32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2、3、6、9、11</w:t>
            </w:r>
          </w:p>
        </w:tc>
      </w:tr>
      <w:tr>
        <w:trPr>
          <w:trHeight w:hRule="atLeast"/>
          <w:cantSplit w:val="true"/>
        </w:trPr>
        <w:tc>
          <w:tcPr>
            <w:tcW w:type="dxa" w:w="12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图2</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补签一周、OA API、外出双表、跨夜加班、48 小时、权限、夏冬令</w:t>
            </w:r>
          </w:p>
        </w:tc>
        <w:tc>
          <w:tcPr>
            <w:tcW w:type="dxa" w:w="32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5、6、7、9</w:t>
            </w:r>
          </w:p>
        </w:tc>
      </w:tr>
      <w:tr>
        <w:trPr>
          <w:trHeight w:hRule="atLeast"/>
          <w:cantSplit w:val="true"/>
        </w:trPr>
        <w:tc>
          <w:tcPr>
            <w:tcW w:type="dxa" w:w="12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图3</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大连/成都/上海班次、年假/丧假/护理假/病事假、特殊工时、销假、余额</w:t>
            </w:r>
          </w:p>
        </w:tc>
        <w:tc>
          <w:tcPr>
            <w:tcW w:type="dxa" w:w="32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5、7、8</w:t>
            </w:r>
          </w:p>
        </w:tc>
      </w:tr>
      <w:tr>
        <w:trPr>
          <w:trHeight w:hRule="atLeast"/>
          <w:cantSplit w:val="true"/>
        </w:trPr>
        <w:tc>
          <w:tcPr>
            <w:tcW w:type="dxa" w:w="12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图4</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实际工时、加班、迟到/早退、请假、旷工</w:t>
            </w:r>
          </w:p>
        </w:tc>
        <w:tc>
          <w:tcPr>
            <w:tcW w:type="dxa" w:w="32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7.1-7.4</w:t>
            </w:r>
          </w:p>
        </w:tc>
      </w:tr>
      <w:tr>
        <w:trPr>
          <w:trHeight w:hRule="atLeast"/>
          <w:cantSplit w:val="true"/>
        </w:trPr>
        <w:tc>
          <w:tcPr>
            <w:tcW w:type="dxa" w:w="12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图5</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正常、迟到月度豁免、义务/正常/临时/跨日加班</w:t>
            </w:r>
          </w:p>
        </w:tc>
        <w:tc>
          <w:tcPr>
            <w:tcW w:type="dxa" w:w="32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7.2-7.5</w:t>
            </w:r>
          </w:p>
        </w:tc>
      </w:tr>
      <w:tr>
        <w:trPr>
          <w:trHeight w:hRule="atLeast"/>
          <w:cantSplit w:val="true"/>
        </w:trPr>
        <w:tc>
          <w:tcPr>
            <w:tcW w:type="dxa" w:w="12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图6</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请假、旷工、免打卡</w:t>
            </w:r>
          </w:p>
        </w:tc>
        <w:tc>
          <w:tcPr>
            <w:tcW w:type="dxa" w:w="32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7.3、8</w:t>
            </w:r>
          </w:p>
        </w:tc>
      </w:tr>
      <w:tr>
        <w:trPr>
          <w:trHeight w:hRule="atLeast"/>
          <w:cantSplit w:val="true"/>
        </w:trPr>
        <w:tc>
          <w:tcPr>
            <w:tcW w:type="dxa" w:w="12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图7</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异常及时处理、餐扣、预申请、年假/调休优先、紧急例外</w:t>
            </w:r>
          </w:p>
        </w:tc>
        <w:tc>
          <w:tcPr>
            <w:tcW w:type="dxa" w:w="32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7、8</w:t>
            </w:r>
          </w:p>
        </w:tc>
      </w:tr>
      <w:tr>
        <w:trPr>
          <w:trHeight w:hRule="atLeast"/>
          <w:cantSplit w:val="true"/>
        </w:trPr>
        <w:tc>
          <w:tcPr>
            <w:tcW w:type="dxa" w:w="12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图8</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年假工龄流程</w:t>
            </w:r>
          </w:p>
        </w:tc>
        <w:tc>
          <w:tcPr>
            <w:tcW w:type="dxa" w:w="32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8.2、12.1</w:t>
            </w:r>
          </w:p>
        </w:tc>
      </w:tr>
      <w:tr>
        <w:trPr>
          <w:trHeight w:hRule="atLeast"/>
          <w:cantSplit w:val="true"/>
        </w:trPr>
        <w:tc>
          <w:tcPr>
            <w:tcW w:type="dxa" w:w="129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本轮文字</w:t>
            </w:r>
          </w:p>
        </w:tc>
        <w:tc>
          <w:tcPr>
            <w:tcW w:type="dxa" w:w="4824"/>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组织期初导入、独立组织、班组解决例外、薪资隐藏、期初工时</w:t>
            </w:r>
          </w:p>
        </w:tc>
        <w:tc>
          <w:tcPr>
            <w:tcW w:type="dxa" w:w="3240"/>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全篇范围裁决</w:t>
            </w:r>
          </w:p>
        </w:tc>
      </w:tr>
    </w:tbl>
    <w:p>
      <w:pPr>
        <w:spacing w:after="40"/>
      </w:pPr>
    </w:p>
    <w:p>
      <w:pPr>
        <w:pStyle w:val="Heading1"/>
        <w:keepNext/>
      </w:pPr>
      <w:r>
        <w:rPr>
          <w:rFonts w:ascii="PingFang SC" w:hAnsi="PingFang SC" w:eastAsia="PingFang SC" w:cs="PingFang SC"/>
        </w:rPr>
        <w:t>附录B. 竞品与法规参考</w:t>
      </w:r>
    </w:p>
    <w:p>
      <w:pPr>
        <w:spacing w:after="120"/>
      </w:pPr>
      <w:r>
        <w:rPr>
          <w:rFonts w:ascii="PingFang SC" w:hAnsi="PingFang SC" w:eastAsia="PingFang SC" w:cs="PingFang SC"/>
          <w:i w:val="0"/>
          <w:color w:val="1F2937"/>
          <w:sz w:val="22"/>
        </w:rPr>
        <w:t>竞品资料用于提炼通用产品逻辑，不表示本项目复制其全部功能、界面、价格或服务承诺。法规资料用于提示制度口径风险，最终制度由客户 HR/法务确认。</w:t>
      </w:r>
    </w:p>
    <w:p>
      <w:pPr>
        <w:pStyle w:val="ListBullet"/>
        <w:spacing w:after="80"/>
      </w:pPr>
      <w:hyperlink r:id="rId13">
        <w:r>
          <w:rPr>
            <w:rFonts w:ascii="PingFang SC" w:hAnsi="PingFang SC" w:eastAsia="PingFang SC" w:cs="PingFang SC"/>
            <w:color w:val="2E74B5"/>
            <w:u w:val="single"/>
          </w:rPr>
          <w:t>北森：智能考勤管理与灵活排班</w:t>
        </w:r>
      </w:hyperlink>
    </w:p>
    <w:p>
      <w:pPr>
        <w:pStyle w:val="ListBullet"/>
        <w:spacing w:after="80"/>
      </w:pPr>
      <w:hyperlink r:id="rId14">
        <w:r>
          <w:rPr>
            <w:rFonts w:ascii="PingFang SC" w:hAnsi="PingFang SC" w:eastAsia="PingFang SC" w:cs="PingFang SC"/>
            <w:color w:val="2E74B5"/>
            <w:u w:val="single"/>
          </w:rPr>
          <w:t>北森：组织架构调整与批量维护</w:t>
        </w:r>
      </w:hyperlink>
    </w:p>
    <w:p>
      <w:pPr>
        <w:pStyle w:val="ListBullet"/>
        <w:spacing w:after="80"/>
      </w:pPr>
      <w:hyperlink r:id="rId15">
        <w:r>
          <w:rPr>
            <w:rFonts w:ascii="PingFang SC" w:hAnsi="PingFang SC" w:eastAsia="PingFang SC" w:cs="PingFang SC"/>
            <w:color w:val="2E74B5"/>
            <w:u w:val="single"/>
          </w:rPr>
          <w:t>i人事：考勤排班产品</w:t>
        </w:r>
      </w:hyperlink>
    </w:p>
    <w:p>
      <w:pPr>
        <w:pStyle w:val="ListBullet"/>
        <w:spacing w:after="80"/>
      </w:pPr>
      <w:hyperlink r:id="rId16">
        <w:r>
          <w:rPr>
            <w:rFonts w:ascii="PingFang SC" w:hAnsi="PingFang SC" w:eastAsia="PingFang SC" w:cs="PingFang SC"/>
            <w:color w:val="2E74B5"/>
            <w:u w:val="single"/>
          </w:rPr>
          <w:t>i人事：考勤系统初始化、班次和异常处理</w:t>
        </w:r>
      </w:hyperlink>
    </w:p>
    <w:p>
      <w:pPr>
        <w:pStyle w:val="ListBullet"/>
        <w:spacing w:after="80"/>
      </w:pPr>
      <w:hyperlink r:id="rId17">
        <w:r>
          <w:rPr>
            <w:rFonts w:ascii="PingFang SC" w:hAnsi="PingFang SC" w:eastAsia="PingFang SC" w:cs="PingFang SC"/>
            <w:color w:val="2E74B5"/>
            <w:u w:val="single"/>
          </w:rPr>
          <w:t>致远薪事力：多考勤组、多班次及月度汇总</w:t>
        </w:r>
      </w:hyperlink>
    </w:p>
    <w:p>
      <w:pPr>
        <w:pStyle w:val="ListBullet"/>
        <w:spacing w:after="80"/>
      </w:pPr>
      <w:hyperlink r:id="rId18">
        <w:r>
          <w:rPr>
            <w:rFonts w:ascii="PingFang SC" w:hAnsi="PingFang SC" w:eastAsia="PingFang SC" w:cs="PingFang SC"/>
            <w:color w:val="2E74B5"/>
            <w:u w:val="single"/>
          </w:rPr>
          <w:t>致远薪事力：组织与考勤产品介绍</w:t>
        </w:r>
      </w:hyperlink>
    </w:p>
    <w:p>
      <w:pPr>
        <w:pStyle w:val="ListBullet"/>
        <w:spacing w:after="80"/>
      </w:pPr>
      <w:hyperlink r:id="rId19">
        <w:r>
          <w:rPr>
            <w:rFonts w:ascii="PingFang SC" w:hAnsi="PingFang SC" w:eastAsia="PingFang SC" w:cs="PingFang SC"/>
            <w:color w:val="2E74B5"/>
            <w:u w:val="single"/>
          </w:rPr>
          <w:t>人力资源和社会保障部：《企业职工带薪年休假实施办法》</w:t>
        </w:r>
      </w:hyperlink>
    </w:p>
    <w:p>
      <w:pPr>
        <w:pStyle w:val="ListBullet"/>
        <w:spacing w:after="80"/>
      </w:pPr>
      <w:hyperlink r:id="rId20">
        <w:r>
          <w:rPr>
            <w:rFonts w:ascii="PingFang SC" w:hAnsi="PingFang SC" w:eastAsia="PingFang SC" w:cs="PingFang SC"/>
            <w:color w:val="2E74B5"/>
            <w:u w:val="single"/>
          </w:rPr>
          <w:t>上海市人社局：《职工带薪年休假条例》</w:t>
        </w:r>
      </w:hyperlink>
    </w:p>
    <w:p>
      <w:pPr>
        <w:pStyle w:val="Heading2"/>
        <w:keepNext/>
      </w:pPr>
      <w:r>
        <w:rPr>
          <w:rFonts w:ascii="PingFang SC" w:hAnsi="PingFang SC" w:eastAsia="PingFang SC" w:cs="PingFang SC"/>
        </w:rPr>
        <w:t>B.1 质量自检结论</w:t>
      </w:r>
    </w:p>
    <w:tbl>
      <w:tblPr>
        <w:tblStyle w:val="TableGrid"/>
        <w:tblW w:type="dxa" w:w="9360"/>
        <w:jc w:val="left"/>
        <w:tblLayout w:type="fixed"/>
        <w:tblLook w:firstColumn="1" w:firstRow="1" w:lastColumn="0" w:lastRow="0" w:noHBand="0" w:noVBand="1" w:val="04A0"/>
        <w:tblInd w:type="dxa" w:w="120"/>
      </w:tblPr>
      <w:tblGrid>
        <w:gridCol w:w="2088"/>
        <w:gridCol w:w="1656"/>
        <w:gridCol w:w="5616"/>
      </w:tblGrid>
      <w:tr>
        <w:trPr>
          <w:tblHeader w:val="true"/>
          <w:cantSplit w:val="true"/>
        </w:trPr>
        <w:tc>
          <w:tcPr>
            <w:tcW w:type="dxa" w:w="2088"/>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检查项</w:t>
            </w:r>
          </w:p>
        </w:tc>
        <w:tc>
          <w:tcPr>
            <w:tcW w:type="dxa" w:w="165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结论</w:t>
            </w:r>
          </w:p>
        </w:tc>
        <w:tc>
          <w:tcPr>
            <w:tcW w:type="dxa" w:w="5616"/>
            <w:vAlign w:val="center"/>
            <w:shd w:fill="F2F4F7"/>
            <w:tcMar>
              <w:top w:w="80" w:type="dxa"/>
              <w:bottom w:w="80" w:type="dxa"/>
              <w:start w:w="120" w:type="dxa"/>
              <w:end w:w="120" w:type="dxa"/>
            </w:tcMar>
          </w:tcPr>
          <w:p>
            <w:pPr>
              <w:spacing w:before="0" w:after="0" w:line="259" w:lineRule="auto"/>
              <w:jc w:val="center"/>
            </w:pPr>
            <w:r>
              <w:rPr>
                <w:rFonts w:ascii="PingFang SC" w:hAnsi="PingFang SC" w:eastAsia="PingFang SC" w:cs="PingFang SC"/>
              </w:rPr>
            </w:r>
            <w:r>
              <w:rPr>
                <w:rFonts w:ascii="PingFang SC" w:hAnsi="PingFang SC" w:eastAsia="PingFang SC" w:cs="PingFang SC"/>
                <w:b/>
                <w:color w:val="17365D"/>
                <w:sz w:val="18"/>
              </w:rPr>
              <w:t>说明</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范围一致性</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通过</w:t>
            </w:r>
          </w:p>
        </w:tc>
        <w:tc>
          <w:tcPr>
            <w:tcW w:type="dxa" w:w="56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组织同步已移除；班组、薪资隐藏、年假和期初工时贯穿范围、功能、验收</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开发可执行性</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通过</w:t>
            </w:r>
          </w:p>
        </w:tc>
        <w:tc>
          <w:tcPr>
            <w:tcW w:type="dxa" w:w="56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主要功能均给出输入、处理、输出、异常、状态和 AC</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规则无重复计量</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通过</w:t>
            </w:r>
          </w:p>
        </w:tc>
        <w:tc>
          <w:tcPr>
            <w:tcW w:type="dxa" w:w="56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工作事实与时间账户分账；加班计薪与转调休互斥</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边界覆盖</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通过</w:t>
            </w:r>
          </w:p>
        </w:tc>
        <w:tc>
          <w:tcPr>
            <w:tcW w:type="dxa" w:w="56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闰年、周年日、跨日、48 小时、迟到豁免、单边缺卡、销假和月结后变化有明确口径</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权限边界</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通过</w:t>
            </w:r>
          </w:p>
        </w:tc>
        <w:tc>
          <w:tcPr>
            <w:tcW w:type="dxa" w:w="56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本地数据范围、位置独立权限和薪资服务端隐藏已定义</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color w:val="1F2937"/>
                <w:sz w:val="16"/>
              </w:rPr>
              <w:t>配置完整性</w:t>
            </w:r>
          </w:p>
        </w:tc>
        <w:tc>
          <w:tcPr>
            <w:tcW w:type="dxa" w:w="165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通过</w:t>
            </w:r>
          </w:p>
        </w:tc>
        <w:tc>
          <w:tcPr>
            <w:tcW w:type="dxa" w:w="5616"/>
            <w:vAlign w:val="center"/>
            <w:tcMar>
              <w:top w:w="80" w:type="dxa"/>
              <w:bottom w:w="80" w:type="dxa"/>
              <w:start w:w="120" w:type="dxa"/>
              <w:end w:w="120" w:type="dxa"/>
            </w:tcMar>
          </w:tcPr>
          <w:p>
            <w:pPr>
              <w:spacing w:before="0" w:after="0" w:line="259" w:lineRule="auto"/>
              <w:jc w:val="left"/>
            </w:pPr>
            <w:r>
              <w:rPr>
                <w:rFonts w:ascii="PingFang SC" w:hAnsi="PingFang SC" w:eastAsia="PingFang SC" w:cs="PingFang SC"/>
              </w:rPr>
            </w:r>
            <w:r>
              <w:rPr>
                <w:rFonts w:ascii="PingFang SC" w:hAnsi="PingFang SC" w:eastAsia="PingFang SC" w:cs="PingFang SC"/>
                <w:b w:val="0"/>
                <w:color w:val="1F2937"/>
                <w:sz w:val="16"/>
              </w:rPr>
              <w:t>已确认规则全部形成默认参数、适用范围和生效版本；剩余班次/单据样本属于实施输入</w:t>
            </w:r>
          </w:p>
        </w:tc>
      </w:tr>
    </w:tbl>
    <w:p>
      <w:pPr>
        <w:spacing w:after="40"/>
      </w:pPr>
    </w:p>
    <w:p>
      <w:pPr>
        <w:spacing w:before="100" w:after="160" w:line="264" w:lineRule="auto"/>
        <w:shd w:fill="EAF6EF"/>
        <w:pBdr>
          <w:left w:val="single" w:sz="18" w:space="8" w:color="277A53"/>
        </w:pBdr>
        <w:ind w:left="160" w:right="160"/>
        <w:keepLines/>
      </w:pPr>
      <w:r>
        <w:rPr>
          <w:rFonts w:ascii="PingFang SC" w:hAnsi="PingFang SC" w:eastAsia="PingFang SC" w:cs="PingFang SC"/>
          <w:b/>
          <w:color w:val="277A53"/>
          <w:sz w:val="21"/>
        </w:rPr>
        <w:t xml:space="preserve">评审建议  </w:t>
      </w:r>
      <w:r>
        <w:rPr>
          <w:rFonts w:ascii="PingFang SC" w:hAnsi="PingFang SC" w:eastAsia="PingFang SC" w:cs="PingFang SC"/>
          <w:color w:val="1F2937"/>
          <w:sz w:val="21"/>
        </w:rPr>
        <w:t>V1.9 可作为新的产品评审与开发基线。账号、班组、迟到、缺卡、餐扣、假别和年假规则均已形成可发布配置及项目默认值，可直接进入交互和技术设计；实施阶段只需补齐 OA 单据样本和最终初始化配置数据。</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PingFang SC" w:hAnsi="PingFang SC" w:eastAsia="PingFang SC" w:cs="PingFang SC"/>
        <w:color w:val="667085"/>
        <w:sz w:val="17"/>
      </w:rPr>
      <w:t xml:space="preserve">内部评审稿  |  </w:t>
    </w:r>
    <w:r>
      <w:rPr>
        <w:rFonts w:ascii="PingFang SC" w:hAnsi="PingFang SC" w:eastAsia="PingFang SC" w:cs="PingFang SC"/>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PingFang SC" w:hAnsi="PingFang SC" w:eastAsia="PingFang SC" w:cs="PingFang SC"/>
        <w:b/>
        <w:color w:val="667085"/>
        <w:sz w:val="17"/>
      </w:rPr>
      <w:t>神州HR · PRD V1.9 · 考勤首发 / 薪资后端预留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PingFang SC" w:hAnsi="PingFang SC" w:eastAsia="PingFang SC" w:cs="PingFang SC"/>
      <w:color w:val="1F2937"/>
      <w:sz w:val="22"/>
    </w:rPr>
  </w:style>
  <w:style w:type="paragraph" w:styleId="Header">
    <w:rPr>
      <w:rFonts w:ascii="PingFang SC" w:hAnsi="PingFang SC" w:eastAsia="PingFang SC" w:cs="PingFang SC"/>
    </w:rP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rPr>
      <w:rFonts w:ascii="PingFang SC" w:hAnsi="PingFang SC" w:eastAsia="PingFang SC" w:cs="PingFang SC"/>
    </w:rPr>
    <w:name w:val="Header Char"/>
    <w:basedOn w:val="DefaultParagraphFont"/>
    <w:link w:val="Header"/>
    <w:uiPriority w:val="99"/>
    <w:rsid w:val="00E618BF"/>
  </w:style>
  <w:style w:type="paragraph" w:styleId="Footer">
    <w:rPr>
      <w:rFonts w:ascii="PingFang SC" w:hAnsi="PingFang SC" w:eastAsia="PingFang SC" w:cs="PingFang SC"/>
    </w:rP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rPr>
      <w:rFonts w:ascii="PingFang SC" w:hAnsi="PingFang SC" w:eastAsia="PingFang SC" w:cs="PingFang SC"/>
    </w:rP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PingFang SC" w:hAnsi="PingFang SC" w:eastAsia="PingFang SC" w:cs="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PingFang SC" w:hAnsi="PingFang SC" w:eastAsia="PingFang SC" w:cs="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PingFang SC" w:hAnsi="PingFang SC" w:eastAsia="PingFang SC" w:cs="PingFang SC"/>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PingFang SC" w:hAnsi="PingFang SC" w:eastAsia="PingFang SC" w:cs="PingFang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PingFang SC" w:hAnsi="PingFang SC" w:eastAsia="PingFang SC" w:cs="PingFang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PingFang SC" w:hAnsi="PingFang SC" w:eastAsia="PingFang SC" w:cs="PingFang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PingFang SC" w:hAnsi="PingFang SC" w:eastAsia="PingFang SC" w:cs="PingFang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PingFang SC" w:hAnsi="PingFang SC" w:eastAsia="PingFang SC" w:cs="PingFang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PingFang SC" w:hAnsi="PingFang SC" w:eastAsia="PingFang SC" w:cs="PingFang SC"/>
      <w:i/>
      <w:iCs/>
      <w:color w:val="404040" w:themeColor="text1" w:themeTint="BF"/>
      <w:sz w:val="20"/>
      <w:szCs w:val="20"/>
    </w:rPr>
  </w:style>
  <w:style w:type="character" w:default="1" w:styleId="DefaultParagraphFont">
    <w:rPr>
      <w:rFonts w:ascii="PingFang SC" w:hAnsi="PingFang SC" w:eastAsia="PingFang SC" w:cs="PingFang SC"/>
    </w:rPr>
    <w:name w:val="Default Paragraph Font"/>
    <w:uiPriority w:val="1"/>
    <w:semiHidden/>
    <w:unhideWhenUsed/>
  </w:style>
  <w:style w:type="table" w:default="1" w:styleId="TableNormal">
    <w:rPr>
      <w:rFonts w:ascii="PingFang SC" w:hAnsi="PingFang SC" w:eastAsia="PingFang SC" w:cs="PingFang SC"/>
    </w:rPr>
    <w:name w:val="Normal Table"/>
    <w:uiPriority w:val="99"/>
    <w:semiHidden/>
    <w:unhideWhenUsed/>
    <w:tblPr>
      <w:tblInd w:w="0" w:type="dxa"/>
      <w:tblCellMar>
        <w:top w:w="0" w:type="dxa"/>
        <w:left w:w="108" w:type="dxa"/>
        <w:bottom w:w="0" w:type="dxa"/>
        <w:right w:w="108" w:type="dxa"/>
      </w:tblCellMar>
    </w:tblPr>
  </w:style>
  <w:style w:type="numbering" w:default="1" w:styleId="NoList">
    <w:rPr>
      <w:rFonts w:ascii="PingFang SC" w:hAnsi="PingFang SC" w:eastAsia="PingFang SC" w:cs="PingFang SC"/>
    </w:rPr>
    <w:name w:val="No List"/>
    <w:uiPriority w:val="99"/>
    <w:semiHidden/>
    <w:unhideWhenUsed/>
  </w:style>
  <w:style w:type="paragraph" w:styleId="NoSpacing">
    <w:rPr>
      <w:rFonts w:ascii="PingFang SC" w:hAnsi="PingFang SC" w:eastAsia="PingFang SC" w:cs="PingFang SC"/>
    </w:rPr>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ingFang SC" w:hAnsi="PingFang SC" w:eastAsia="PingFang SC" w:cs="PingFang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ingFang SC" w:hAnsi="PingFang SC" w:eastAsia="PingFang SC" w:cs="PingFang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PingFang SC" w:hAnsi="PingFang SC" w:eastAsia="PingFang SC" w:cs="PingFang S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ingFang SC" w:hAnsi="PingFang SC" w:eastAsia="PingFang SC" w:cs="PingFang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ingFang SC" w:hAnsi="PingFang SC" w:eastAsia="PingFang SC" w:cs="PingFang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PingFang SC" w:hAnsi="PingFang SC" w:eastAsia="PingFang SC" w:cs="PingFang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ingFang SC" w:hAnsi="PingFang SC" w:eastAsia="PingFang SC" w:cs="PingFang SC"/>
      <w:i/>
      <w:iCs/>
      <w:color w:val="4F81BD" w:themeColor="accent1"/>
      <w:spacing w:val="15"/>
      <w:sz w:val="24"/>
      <w:szCs w:val="24"/>
    </w:rPr>
  </w:style>
  <w:style w:type="paragraph" w:styleId="ListParagraph">
    <w:rPr>
      <w:rFonts w:ascii="PingFang SC" w:hAnsi="PingFang SC" w:eastAsia="PingFang SC" w:cs="PingFang SC"/>
    </w:rPr>
    <w:name w:val="List Paragraph"/>
    <w:basedOn w:val="Normal"/>
    <w:uiPriority w:val="34"/>
    <w:qFormat/>
    <w:rsid w:val="00FC693F"/>
    <w:pPr>
      <w:ind w:left="720"/>
      <w:contextualSpacing/>
    </w:pPr>
  </w:style>
  <w:style w:type="paragraph" w:styleId="BodyText">
    <w:rPr>
      <w:rFonts w:ascii="PingFang SC" w:hAnsi="PingFang SC" w:eastAsia="PingFang SC" w:cs="PingFang SC"/>
    </w:rPr>
    <w:name w:val="Body Text"/>
    <w:basedOn w:val="Normal"/>
    <w:link w:val="BodyTextChar"/>
    <w:uiPriority w:val="99"/>
    <w:unhideWhenUsed/>
    <w:rsid w:val="00AA1D8D"/>
    <w:pPr>
      <w:spacing w:after="120"/>
    </w:pPr>
  </w:style>
  <w:style w:type="character" w:customStyle="1" w:styleId="BodyTextChar">
    <w:rPr>
      <w:rFonts w:ascii="PingFang SC" w:hAnsi="PingFang SC" w:eastAsia="PingFang SC" w:cs="PingFang SC"/>
    </w:rPr>
    <w:name w:val="Body Text Char"/>
    <w:basedOn w:val="DefaultParagraphFont"/>
    <w:link w:val="BodyText"/>
    <w:uiPriority w:val="99"/>
    <w:rsid w:val="00AA1D8D"/>
  </w:style>
  <w:style w:type="paragraph" w:styleId="BodyText2">
    <w:rPr>
      <w:rFonts w:ascii="PingFang SC" w:hAnsi="PingFang SC" w:eastAsia="PingFang SC" w:cs="PingFang SC"/>
    </w:rPr>
    <w:name w:val="Body Text 2"/>
    <w:basedOn w:val="Normal"/>
    <w:link w:val="BodyText2Char"/>
    <w:uiPriority w:val="99"/>
    <w:unhideWhenUsed/>
    <w:rsid w:val="00AA1D8D"/>
    <w:pPr>
      <w:spacing w:after="120" w:line="480" w:lineRule="auto"/>
    </w:pPr>
  </w:style>
  <w:style w:type="character" w:customStyle="1" w:styleId="BodyText2Char">
    <w:rPr>
      <w:rFonts w:ascii="PingFang SC" w:hAnsi="PingFang SC" w:eastAsia="PingFang SC" w:cs="PingFang SC"/>
    </w:rP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ingFang SC" w:hAnsi="PingFang SC" w:eastAsia="PingFang SC" w:cs="PingFang SC"/>
      <w:sz w:val="16"/>
      <w:szCs w:val="16"/>
    </w:rPr>
  </w:style>
  <w:style w:type="character" w:customStyle="1" w:styleId="BodyText3Char">
    <w:name w:val="Body Text 3 Char"/>
    <w:basedOn w:val="DefaultParagraphFont"/>
    <w:link w:val="BodyText3"/>
    <w:uiPriority w:val="99"/>
    <w:rsid w:val="00AA1D8D"/>
    <w:rPr>
      <w:rFonts w:ascii="PingFang SC" w:hAnsi="PingFang SC" w:eastAsia="PingFang SC" w:cs="PingFang SC"/>
      <w:sz w:val="16"/>
      <w:szCs w:val="16"/>
    </w:rPr>
  </w:style>
  <w:style w:type="paragraph" w:styleId="List">
    <w:rPr>
      <w:rFonts w:ascii="PingFang SC" w:hAnsi="PingFang SC" w:eastAsia="PingFang SC" w:cs="PingFang SC"/>
    </w:rPr>
    <w:name w:val="List"/>
    <w:basedOn w:val="Normal"/>
    <w:uiPriority w:val="99"/>
    <w:unhideWhenUsed/>
    <w:rsid w:val="00AA1D8D"/>
    <w:pPr>
      <w:ind w:left="360" w:hanging="360"/>
      <w:contextualSpacing/>
    </w:pPr>
  </w:style>
  <w:style w:type="paragraph" w:styleId="List2">
    <w:rPr>
      <w:rFonts w:ascii="PingFang SC" w:hAnsi="PingFang SC" w:eastAsia="PingFang SC" w:cs="PingFang SC"/>
    </w:rPr>
    <w:name w:val="List 2"/>
    <w:basedOn w:val="Normal"/>
    <w:uiPriority w:val="99"/>
    <w:unhideWhenUsed/>
    <w:rsid w:val="00326F90"/>
    <w:pPr>
      <w:ind w:left="720" w:hanging="360"/>
      <w:contextualSpacing/>
    </w:pPr>
  </w:style>
  <w:style w:type="paragraph" w:styleId="List3">
    <w:rPr>
      <w:rFonts w:ascii="PingFang SC" w:hAnsi="PingFang SC" w:eastAsia="PingFang SC" w:cs="PingFang SC"/>
    </w:rPr>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PingFang SC" w:hAnsi="PingFang SC" w:eastAsia="PingFang SC" w:cs="PingFang SC"/>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PingFang SC" w:hAnsi="PingFang SC" w:eastAsia="PingFang SC" w:cs="PingFang SC"/>
      <w:sz w:val="22"/>
    </w:rPr>
  </w:style>
  <w:style w:type="paragraph" w:styleId="ListBullet3">
    <w:rPr>
      <w:rFonts w:ascii="PingFang SC" w:hAnsi="PingFang SC" w:eastAsia="PingFang SC" w:cs="PingFang SC"/>
    </w:rPr>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PingFang SC" w:hAnsi="PingFang SC" w:eastAsia="PingFang SC" w:cs="PingFang SC"/>
      <w:sz w:val="22"/>
    </w:rPr>
  </w:style>
  <w:style w:type="paragraph" w:styleId="ListNumber2">
    <w:name w:val="List Number 2"/>
    <w:basedOn w:val="Normal"/>
    <w:uiPriority w:val="99"/>
    <w:unhideWhenUsed/>
    <w:rsid w:val="0029639D"/>
    <w:pPr>
      <w:numPr>
        <w:numId w:val="6"/>
      </w:numPr>
      <w:spacing w:after="80" w:line="280" w:lineRule="auto"/>
      <w:contextualSpacing/>
    </w:pPr>
    <w:rPr>
      <w:rFonts w:ascii="PingFang SC" w:hAnsi="PingFang SC" w:eastAsia="PingFang SC" w:cs="PingFang SC"/>
      <w:sz w:val="22"/>
    </w:rPr>
  </w:style>
  <w:style w:type="paragraph" w:styleId="ListNumber3">
    <w:rPr>
      <w:rFonts w:ascii="PingFang SC" w:hAnsi="PingFang SC" w:eastAsia="PingFang SC" w:cs="PingFang SC"/>
    </w:rPr>
    <w:name w:val="List Number 3"/>
    <w:basedOn w:val="Normal"/>
    <w:uiPriority w:val="99"/>
    <w:unhideWhenUsed/>
    <w:rsid w:val="0029639D"/>
    <w:pPr>
      <w:numPr>
        <w:numId w:val="7"/>
      </w:numPr>
      <w:contextualSpacing/>
    </w:pPr>
  </w:style>
  <w:style w:type="paragraph" w:styleId="ListContinue">
    <w:rPr>
      <w:rFonts w:ascii="PingFang SC" w:hAnsi="PingFang SC" w:eastAsia="PingFang SC" w:cs="PingFang SC"/>
    </w:rPr>
    <w:name w:val="List Continue"/>
    <w:basedOn w:val="Normal"/>
    <w:uiPriority w:val="99"/>
    <w:unhideWhenUsed/>
    <w:rsid w:val="0029639D"/>
    <w:pPr>
      <w:spacing w:after="120"/>
      <w:ind w:left="360"/>
      <w:contextualSpacing/>
    </w:pPr>
  </w:style>
  <w:style w:type="paragraph" w:styleId="ListContinue2">
    <w:rPr>
      <w:rFonts w:ascii="PingFang SC" w:hAnsi="PingFang SC" w:eastAsia="PingFang SC" w:cs="PingFang SC"/>
    </w:rPr>
    <w:name w:val="List Continue 2"/>
    <w:basedOn w:val="Normal"/>
    <w:uiPriority w:val="99"/>
    <w:unhideWhenUsed/>
    <w:rsid w:val="0029639D"/>
    <w:pPr>
      <w:spacing w:after="120"/>
      <w:ind w:left="720"/>
      <w:contextualSpacing/>
    </w:pPr>
  </w:style>
  <w:style w:type="paragraph" w:styleId="ListContinue3">
    <w:rPr>
      <w:rFonts w:ascii="PingFang SC" w:hAnsi="PingFang SC" w:eastAsia="PingFang SC" w:cs="PingFang SC"/>
    </w:rPr>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PingFang SC" w:hAnsi="PingFang SC" w:eastAsia="PingFang SC" w:cs="PingFang SC"/>
      <w:sz w:val="20"/>
      <w:szCs w:val="20"/>
    </w:rPr>
  </w:style>
  <w:style w:type="character" w:customStyle="1" w:styleId="MacroTextChar">
    <w:name w:val="Macro Text Char"/>
    <w:basedOn w:val="DefaultParagraphFont"/>
    <w:link w:val="MacroText"/>
    <w:uiPriority w:val="99"/>
    <w:rsid w:val="0029639D"/>
    <w:rPr>
      <w:rFonts w:ascii="PingFang SC" w:hAnsi="PingFang SC" w:eastAsia="PingFang SC" w:cs="PingFang SC"/>
      <w:sz w:val="20"/>
      <w:szCs w:val="20"/>
    </w:rPr>
  </w:style>
  <w:style w:type="paragraph" w:styleId="Quote">
    <w:name w:val="Quote"/>
    <w:basedOn w:val="Normal"/>
    <w:next w:val="Normal"/>
    <w:link w:val="QuoteChar"/>
    <w:uiPriority w:val="29"/>
    <w:qFormat/>
    <w:rsid w:val="00FC693F"/>
    <w:rPr>
      <w:rFonts w:ascii="PingFang SC" w:hAnsi="PingFang SC" w:eastAsia="PingFang SC" w:cs="PingFang SC"/>
      <w:i/>
      <w:iCs/>
      <w:color w:val="000000" w:themeColor="text1"/>
    </w:rPr>
  </w:style>
  <w:style w:type="character" w:customStyle="1" w:styleId="QuoteChar">
    <w:name w:val="Quote Char"/>
    <w:basedOn w:val="DefaultParagraphFont"/>
    <w:link w:val="Quote"/>
    <w:uiPriority w:val="29"/>
    <w:rsid w:val="00FC693F"/>
    <w:rPr>
      <w:rFonts w:ascii="PingFang SC" w:hAnsi="PingFang SC" w:eastAsia="PingFang SC" w:cs="PingFang S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PingFang SC" w:hAnsi="PingFang SC" w:eastAsia="PingFang SC" w:cs="PingFang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PingFang SC" w:hAnsi="PingFang SC" w:eastAsia="PingFang SC" w:cs="PingFang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PingFang SC" w:hAnsi="PingFang SC" w:eastAsia="PingFang SC" w:cs="PingFang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PingFang SC" w:hAnsi="PingFang SC" w:eastAsia="PingFang SC" w:cs="PingFang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PingFang SC" w:hAnsi="PingFang SC" w:eastAsia="PingFang SC" w:cs="PingFang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PingFang SC" w:hAnsi="PingFang SC" w:eastAsia="PingFang SC" w:cs="PingFang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PingFang SC" w:hAnsi="PingFang SC" w:eastAsia="PingFang SC" w:cs="PingFang SC"/>
      <w:b/>
      <w:bCs/>
      <w:color w:val="4F81BD" w:themeColor="accent1"/>
      <w:sz w:val="18"/>
      <w:szCs w:val="18"/>
    </w:rPr>
  </w:style>
  <w:style w:type="character" w:styleId="Strong">
    <w:name w:val="Strong"/>
    <w:basedOn w:val="DefaultParagraphFont"/>
    <w:uiPriority w:val="22"/>
    <w:qFormat/>
    <w:rsid w:val="00FC693F"/>
    <w:rPr>
      <w:rFonts w:ascii="PingFang SC" w:hAnsi="PingFang SC" w:eastAsia="PingFang SC" w:cs="PingFang SC"/>
      <w:b/>
      <w:bCs/>
    </w:rPr>
  </w:style>
  <w:style w:type="character" w:styleId="Emphasis">
    <w:name w:val="Emphasis"/>
    <w:basedOn w:val="DefaultParagraphFont"/>
    <w:uiPriority w:val="20"/>
    <w:qFormat/>
    <w:rsid w:val="00FC693F"/>
    <w:rPr>
      <w:rFonts w:ascii="PingFang SC" w:hAnsi="PingFang SC" w:eastAsia="PingFang SC" w:cs="PingFang S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ingFang SC" w:hAnsi="PingFang SC" w:eastAsia="PingFang SC" w:cs="PingFang SC"/>
      <w:b/>
      <w:bCs/>
      <w:i/>
      <w:iCs/>
      <w:color w:val="4F81BD" w:themeColor="accent1"/>
    </w:rPr>
  </w:style>
  <w:style w:type="character" w:customStyle="1" w:styleId="IntenseQuoteChar">
    <w:name w:val="Intense Quote Char"/>
    <w:basedOn w:val="DefaultParagraphFont"/>
    <w:link w:val="IntenseQuote"/>
    <w:uiPriority w:val="30"/>
    <w:rsid w:val="00FC693F"/>
    <w:rPr>
      <w:rFonts w:ascii="PingFang SC" w:hAnsi="PingFang SC" w:eastAsia="PingFang SC" w:cs="PingFang SC"/>
      <w:b/>
      <w:bCs/>
      <w:i/>
      <w:iCs/>
      <w:color w:val="4F81BD" w:themeColor="accent1"/>
    </w:rPr>
  </w:style>
  <w:style w:type="character" w:styleId="SubtleEmphasis">
    <w:name w:val="Subtle Emphasis"/>
    <w:basedOn w:val="DefaultParagraphFont"/>
    <w:uiPriority w:val="19"/>
    <w:qFormat/>
    <w:rsid w:val="00FC693F"/>
    <w:rPr>
      <w:rFonts w:ascii="PingFang SC" w:hAnsi="PingFang SC" w:eastAsia="PingFang SC" w:cs="PingFang SC"/>
      <w:i/>
      <w:iCs/>
      <w:color w:val="808080" w:themeColor="text1" w:themeTint="7F"/>
    </w:rPr>
  </w:style>
  <w:style w:type="character" w:styleId="IntenseEmphasis">
    <w:name w:val="Intense Emphasis"/>
    <w:basedOn w:val="DefaultParagraphFont"/>
    <w:uiPriority w:val="21"/>
    <w:qFormat/>
    <w:rsid w:val="00FC693F"/>
    <w:rPr>
      <w:rFonts w:ascii="PingFang SC" w:hAnsi="PingFang SC" w:eastAsia="PingFang SC" w:cs="PingFang SC"/>
      <w:b/>
      <w:bCs/>
      <w:i/>
      <w:iCs/>
      <w:color w:val="4F81BD" w:themeColor="accent1"/>
    </w:rPr>
  </w:style>
  <w:style w:type="character" w:styleId="SubtleReference">
    <w:name w:val="Subtle Reference"/>
    <w:basedOn w:val="DefaultParagraphFont"/>
    <w:uiPriority w:val="31"/>
    <w:qFormat/>
    <w:rsid w:val="00FC693F"/>
    <w:rPr>
      <w:rFonts w:ascii="PingFang SC" w:hAnsi="PingFang SC" w:eastAsia="PingFang SC" w:cs="PingFang SC"/>
      <w:smallCaps/>
      <w:color w:val="C0504D" w:themeColor="accent2"/>
      <w:u w:val="single"/>
    </w:rPr>
  </w:style>
  <w:style w:type="character" w:styleId="IntenseReference">
    <w:name w:val="Intense Reference"/>
    <w:basedOn w:val="DefaultParagraphFont"/>
    <w:uiPriority w:val="32"/>
    <w:qFormat/>
    <w:rsid w:val="00FC693F"/>
    <w:rPr>
      <w:rFonts w:ascii="PingFang SC" w:hAnsi="PingFang SC" w:eastAsia="PingFang SC" w:cs="PingFang SC"/>
      <w:b/>
      <w:bCs/>
      <w:smallCaps/>
      <w:color w:val="C0504D" w:themeColor="accent2"/>
      <w:spacing w:val="5"/>
      <w:u w:val="single"/>
    </w:rPr>
  </w:style>
  <w:style w:type="character" w:styleId="BookTitle">
    <w:name w:val="Book Title"/>
    <w:basedOn w:val="DefaultParagraphFont"/>
    <w:uiPriority w:val="33"/>
    <w:qFormat/>
    <w:rsid w:val="00FC693F"/>
    <w:rPr>
      <w:rFonts w:ascii="PingFang SC" w:hAnsi="PingFang SC" w:eastAsia="PingFang SC" w:cs="PingFang SC"/>
      <w:b/>
      <w:bCs/>
      <w:smallCaps/>
      <w:spacing w:val="5"/>
    </w:rPr>
  </w:style>
  <w:style w:type="paragraph" w:styleId="TOCHeading">
    <w:rPr>
      <w:rFonts w:ascii="PingFang SC" w:hAnsi="PingFang SC" w:eastAsia="PingFang SC" w:cs="PingFang SC"/>
    </w:rPr>
    <w:name w:val="TOC Heading"/>
    <w:basedOn w:val="Heading1"/>
    <w:next w:val="Normal"/>
    <w:uiPriority w:val="39"/>
    <w:semiHidden/>
    <w:unhideWhenUsed/>
    <w:qFormat/>
    <w:rsid w:val="00FC693F"/>
    <w:pPr>
      <w:outlineLvl w:val="9"/>
    </w:pPr>
  </w:style>
  <w:style w:type="table" w:styleId="TableGrid">
    <w:rPr>
      <w:rFonts w:ascii="PingFang SC" w:hAnsi="PingFang SC" w:eastAsia="PingFang SC" w:cs="PingFang SC"/>
    </w:rPr>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PingFang SC" w:hAnsi="PingFang SC" w:eastAsia="PingFang SC" w:cs="PingFang SC"/>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PingFang SC" w:hAnsi="PingFang SC" w:eastAsia="PingFang SC" w:cs="PingFang SC"/>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PingFang SC" w:hAnsi="PingFang SC" w:eastAsia="PingFang SC" w:cs="PingFang SC"/>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PingFang SC" w:hAnsi="PingFang SC" w:eastAsia="PingFang SC" w:cs="PingFang SC"/>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PingFang SC" w:hAnsi="PingFang SC" w:eastAsia="PingFang SC" w:cs="PingFang SC"/>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PingFang SC" w:hAnsi="PingFang SC" w:eastAsia="PingFang SC" w:cs="PingFang SC"/>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PingFang SC" w:hAnsi="PingFang SC" w:eastAsia="PingFang SC" w:cs="PingFang SC"/>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rPr>
      <w:rFonts w:ascii="PingFang SC" w:hAnsi="PingFang SC" w:eastAsia="PingFang SC" w:cs="PingFang SC"/>
    </w:rPr>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rPr>
      <w:rFonts w:ascii="PingFang SC" w:hAnsi="PingFang SC" w:eastAsia="PingFang SC" w:cs="PingFang SC"/>
    </w:rPr>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rPr>
      <w:rFonts w:ascii="PingFang SC" w:hAnsi="PingFang SC" w:eastAsia="PingFang SC" w:cs="PingFang SC"/>
    </w:rPr>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rPr>
      <w:rFonts w:ascii="PingFang SC" w:hAnsi="PingFang SC" w:eastAsia="PingFang SC" w:cs="PingFang SC"/>
    </w:rPr>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rPr>
      <w:rFonts w:ascii="PingFang SC" w:hAnsi="PingFang SC" w:eastAsia="PingFang SC" w:cs="PingFang SC"/>
    </w:rPr>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rPr>
      <w:rFonts w:ascii="PingFang SC" w:hAnsi="PingFang SC" w:eastAsia="PingFang SC" w:cs="PingFang SC"/>
    </w:rPr>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rPr>
      <w:rFonts w:ascii="PingFang SC" w:hAnsi="PingFang SC" w:eastAsia="PingFang SC" w:cs="PingFang SC"/>
    </w:rPr>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rPr>
      <w:rFonts w:ascii="PingFang SC" w:hAnsi="PingFang SC" w:eastAsia="PingFang SC" w:cs="PingFang SC"/>
    </w:rPr>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rPr>
      <w:rFonts w:ascii="PingFang SC" w:hAnsi="PingFang SC" w:eastAsia="PingFang SC" w:cs="PingFang SC"/>
    </w:rPr>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rPr>
      <w:rFonts w:ascii="PingFang SC" w:hAnsi="PingFang SC" w:eastAsia="PingFang SC" w:cs="PingFang SC"/>
    </w:rPr>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rPr>
      <w:rFonts w:ascii="PingFang SC" w:hAnsi="PingFang SC" w:eastAsia="PingFang SC" w:cs="PingFang SC"/>
    </w:rPr>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rPr>
      <w:rFonts w:ascii="PingFang SC" w:hAnsi="PingFang SC" w:eastAsia="PingFang SC" w:cs="PingFang SC"/>
    </w:rPr>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rPr>
      <w:rFonts w:ascii="PingFang SC" w:hAnsi="PingFang SC" w:eastAsia="PingFang SC" w:cs="PingFang SC"/>
    </w:rPr>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rPr>
      <w:rFonts w:ascii="PingFang SC" w:hAnsi="PingFang SC" w:eastAsia="PingFang SC" w:cs="PingFang SC"/>
    </w:rPr>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rPr>
      <w:rFonts w:ascii="PingFang SC" w:hAnsi="PingFang SC" w:eastAsia="PingFang SC" w:cs="PingFang SC"/>
    </w:rPr>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rPr>
      <w:rFonts w:ascii="PingFang SC" w:hAnsi="PingFang SC" w:eastAsia="PingFang SC" w:cs="PingFang SC"/>
    </w:rPr>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rPr>
      <w:rFonts w:ascii="PingFang SC" w:hAnsi="PingFang SC" w:eastAsia="PingFang SC" w:cs="PingFang SC"/>
    </w:rPr>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rPr>
      <w:rFonts w:ascii="PingFang SC" w:hAnsi="PingFang SC" w:eastAsia="PingFang SC" w:cs="PingFang SC"/>
    </w:rPr>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rPr>
      <w:rFonts w:ascii="PingFang SC" w:hAnsi="PingFang SC" w:eastAsia="PingFang SC" w:cs="PingFang SC"/>
    </w:rPr>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rPr>
      <w:rFonts w:ascii="PingFang SC" w:hAnsi="PingFang SC" w:eastAsia="PingFang SC" w:cs="PingFang SC"/>
    </w:rPr>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rPr>
      <w:rFonts w:ascii="PingFang SC" w:hAnsi="PingFang SC" w:eastAsia="PingFang SC" w:cs="PingFang SC"/>
    </w:rPr>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rPr>
      <w:rFonts w:ascii="PingFang SC" w:hAnsi="PingFang SC" w:eastAsia="PingFang SC" w:cs="PingFang SC"/>
    </w:rPr>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rPr>
      <w:rFonts w:ascii="PingFang SC" w:hAnsi="PingFang SC" w:eastAsia="PingFang SC" w:cs="PingFang SC"/>
    </w:rPr>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rPr>
      <w:rFonts w:ascii="PingFang SC" w:hAnsi="PingFang SC" w:eastAsia="PingFang SC" w:cs="PingFang SC"/>
    </w:rPr>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rPr>
      <w:rFonts w:ascii="PingFang SC" w:hAnsi="PingFang SC" w:eastAsia="PingFang SC" w:cs="PingFang SC"/>
    </w:rPr>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rPr>
      <w:rFonts w:ascii="PingFang SC" w:hAnsi="PingFang SC" w:eastAsia="PingFang SC" w:cs="PingFang SC"/>
    </w:rPr>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rPr>
      <w:rFonts w:ascii="PingFang SC" w:hAnsi="PingFang SC" w:eastAsia="PingFang SC" w:cs="PingFang SC"/>
    </w:rPr>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rPr>
      <w:rFonts w:ascii="PingFang SC" w:hAnsi="PingFang SC" w:eastAsia="PingFang SC" w:cs="PingFang SC"/>
    </w:rPr>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PingFang SC" w:hAnsi="PingFang SC" w:eastAsia="PingFang SC" w:cs="PingFang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PingFang SC" w:hAnsi="PingFang SC" w:eastAsia="PingFang SC" w:cs="PingFang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PingFang SC" w:hAnsi="PingFang SC" w:eastAsia="PingFang SC" w:cs="PingFang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PingFang SC" w:hAnsi="PingFang SC" w:eastAsia="PingFang SC" w:cs="PingFang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PingFang SC" w:hAnsi="PingFang SC" w:eastAsia="PingFang SC" w:cs="PingFang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PingFang SC" w:hAnsi="PingFang SC" w:eastAsia="PingFang SC" w:cs="PingFang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PingFang SC" w:hAnsi="PingFang SC" w:eastAsia="PingFang SC" w:cs="PingFang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rPr>
      <w:rFonts w:ascii="PingFang SC" w:hAnsi="PingFang SC" w:eastAsia="PingFang SC" w:cs="PingFang SC"/>
    </w:rPr>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rPr>
      <w:rFonts w:ascii="PingFang SC" w:hAnsi="PingFang SC" w:eastAsia="PingFang SC" w:cs="PingFang SC"/>
    </w:rPr>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rPr>
      <w:rFonts w:ascii="PingFang SC" w:hAnsi="PingFang SC" w:eastAsia="PingFang SC" w:cs="PingFang SC"/>
    </w:rPr>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rPr>
      <w:rFonts w:ascii="PingFang SC" w:hAnsi="PingFang SC" w:eastAsia="PingFang SC" w:cs="PingFang SC"/>
    </w:rPr>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rPr>
      <w:rFonts w:ascii="PingFang SC" w:hAnsi="PingFang SC" w:eastAsia="PingFang SC" w:cs="PingFang SC"/>
    </w:rPr>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rPr>
      <w:rFonts w:ascii="PingFang SC" w:hAnsi="PingFang SC" w:eastAsia="PingFang SC" w:cs="PingFang SC"/>
    </w:rPr>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rPr>
      <w:rFonts w:ascii="PingFang SC" w:hAnsi="PingFang SC" w:eastAsia="PingFang SC" w:cs="PingFang SC"/>
    </w:rPr>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PingFang SC" w:hAnsi="PingFang SC" w:eastAsia="PingFang SC" w:cs="PingFang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PingFang SC" w:hAnsi="PingFang SC" w:eastAsia="PingFang SC" w:cs="PingFang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PingFang SC" w:hAnsi="PingFang SC" w:eastAsia="PingFang SC" w:cs="PingFang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PingFang SC" w:hAnsi="PingFang SC" w:eastAsia="PingFang SC" w:cs="PingFang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PingFang SC" w:hAnsi="PingFang SC" w:eastAsia="PingFang SC" w:cs="PingFang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PingFang SC" w:hAnsi="PingFang SC" w:eastAsia="PingFang SC" w:cs="PingFang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PingFang SC" w:hAnsi="PingFang SC" w:eastAsia="PingFang SC" w:cs="PingFang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rPr>
      <w:rFonts w:ascii="PingFang SC" w:hAnsi="PingFang SC" w:eastAsia="PingFang SC" w:cs="PingFang SC"/>
    </w:rPr>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rPr>
      <w:rFonts w:ascii="PingFang SC" w:hAnsi="PingFang SC" w:eastAsia="PingFang SC" w:cs="PingFang SC"/>
    </w:rPr>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rPr>
      <w:rFonts w:ascii="PingFang SC" w:hAnsi="PingFang SC" w:eastAsia="PingFang SC" w:cs="PingFang SC"/>
    </w:rPr>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rPr>
      <w:rFonts w:ascii="PingFang SC" w:hAnsi="PingFang SC" w:eastAsia="PingFang SC" w:cs="PingFang SC"/>
    </w:rPr>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rPr>
      <w:rFonts w:ascii="PingFang SC" w:hAnsi="PingFang SC" w:eastAsia="PingFang SC" w:cs="PingFang SC"/>
    </w:rPr>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rPr>
      <w:rFonts w:ascii="PingFang SC" w:hAnsi="PingFang SC" w:eastAsia="PingFang SC" w:cs="PingFang SC"/>
    </w:rPr>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rPr>
      <w:rFonts w:ascii="PingFang SC" w:hAnsi="PingFang SC" w:eastAsia="PingFang SC" w:cs="PingFang SC"/>
    </w:rPr>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PingFang SC" w:hAnsi="PingFang SC" w:eastAsia="PingFang SC" w:cs="PingFang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PingFang SC" w:hAnsi="PingFang SC" w:eastAsia="PingFang SC" w:cs="PingFang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PingFang SC" w:hAnsi="PingFang SC" w:eastAsia="PingFang SC" w:cs="PingFang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PingFang SC" w:hAnsi="PingFang SC" w:eastAsia="PingFang SC" w:cs="PingFang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PingFang SC" w:hAnsi="PingFang SC" w:eastAsia="PingFang SC" w:cs="PingFang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PingFang SC" w:hAnsi="PingFang SC" w:eastAsia="PingFang SC" w:cs="PingFang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PingFang SC" w:hAnsi="PingFang SC" w:eastAsia="PingFang SC" w:cs="PingFang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PingFang SC" w:hAnsi="PingFang SC" w:eastAsia="PingFang SC" w:cs="PingFang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beisen.com/product/jqgl/" TargetMode="External"/><Relationship Id="rId14" Type="http://schemas.openxmlformats.org/officeDocument/2006/relationships/hyperlink" Target="https://www.beisen.com/res/1006.html" TargetMode="External"/><Relationship Id="rId15" Type="http://schemas.openxmlformats.org/officeDocument/2006/relationships/hyperlink" Target="https://www.ihr360.cn/attendance.html" TargetMode="External"/><Relationship Id="rId16" Type="http://schemas.openxmlformats.org/officeDocument/2006/relationships/hyperlink" Target="https://blog.ihr360.com/p/137424/" TargetMode="External"/><Relationship Id="rId17" Type="http://schemas.openxmlformats.org/officeDocument/2006/relationships/hyperlink" Target="https://www.x-dhr.com/" TargetMode="External"/><Relationship Id="rId18" Type="http://schemas.openxmlformats.org/officeDocument/2006/relationships/hyperlink" Target="https://www.seeyon.com/mobile/Zhq/xinshili.html" TargetMode="External"/><Relationship Id="rId19" Type="http://schemas.openxmlformats.org/officeDocument/2006/relationships/hyperlink" Target="https://www.mohrss.gov.cn/xxgk2020/gzk/gz/202112/P020211229590352867273.pdf" TargetMode="External"/><Relationship Id="rId20" Type="http://schemas.openxmlformats.org/officeDocument/2006/relationships/hyperlink" Target="https://rsj.sh.gov.cn/tgwyxzfgwj_17255/20200617/t0035_138825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神州HR考勤与薪资核算系统 PRD V1.9</dc:title>
  <dc:subject>组织期初导入、独立组织、班组化考勤、时间账户与薪资后端预留</dc:subject>
  <dc:creator>Codex</dc:creator>
  <cp:keywords>PRD, HR, 考勤, 班组, 年假, 期初工时, 薪资预留</cp:keywords>
  <dc:description>generated by python-docx</dc:description>
  <cp:lastModifiedBy/>
  <cp:revision>1</cp:revision>
  <dcterms:created xsi:type="dcterms:W3CDTF">2013-12-23T23:15:00Z</dcterms:created>
  <dcterms:modified xsi:type="dcterms:W3CDTF">2013-12-23T23:15:00Z</dcterms:modified>
  <cp:category/>
</cp:coreProperties>
</file>