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78297">
      <w:pPr>
        <w:spacing w:before="2160" w:after="320"/>
        <w:jc w:val="center"/>
      </w:pPr>
      <w:r>
        <w:rPr>
          <w:rFonts w:ascii="Calibri" w:hAnsi="Calibri" w:eastAsia="微软雅黑"/>
          <w:b/>
          <w:color w:val="B07A18"/>
          <w:sz w:val="26"/>
        </w:rPr>
        <w:t>EXPERTSEARCH</w:t>
      </w:r>
    </w:p>
    <w:p w14:paraId="49A43797">
      <w:pPr>
        <w:spacing w:after="200"/>
        <w:jc w:val="center"/>
      </w:pPr>
      <w:r>
        <w:rPr>
          <w:rFonts w:ascii="Calibri" w:hAnsi="Calibri" w:eastAsia="微软雅黑"/>
          <w:b/>
          <w:color w:val="203748"/>
          <w:sz w:val="60"/>
        </w:rPr>
        <w:t>全球顶尖专家检索系统</w:t>
      </w:r>
    </w:p>
    <w:p w14:paraId="2FEA18DA">
      <w:pPr>
        <w:spacing w:after="440"/>
        <w:jc w:val="center"/>
      </w:pPr>
      <w:r>
        <w:rPr>
          <w:rFonts w:ascii="Calibri" w:hAnsi="Calibri" w:eastAsia="微软雅黑"/>
          <w:b/>
          <w:color w:val="2E74B5"/>
          <w:sz w:val="40"/>
        </w:rPr>
        <w:t>项目说明文档</w:t>
      </w:r>
    </w:p>
    <w:p w14:paraId="6901109F">
      <w:pPr>
        <w:spacing w:after="1400"/>
        <w:jc w:val="center"/>
      </w:pPr>
      <w:r>
        <w:rPr>
          <w:rFonts w:ascii="Calibri" w:hAnsi="Calibri" w:eastAsia="微软雅黑"/>
          <w:color w:val="606B7A"/>
          <w:sz w:val="25"/>
        </w:rPr>
        <w:t>基于 Streamlit、LangGraph 与多源证据融合的专家发现、验证和交付平台</w:t>
      </w:r>
    </w:p>
    <w:p w14:paraId="03C17F58">
      <w:pPr>
        <w:pBdr>
          <w:top w:val="single" w:color="CBD5E1" w:sz="6" w:space="6"/>
          <w:bottom w:val="single" w:color="CBD5E1" w:sz="6" w:space="6"/>
        </w:pBdr>
        <w:shd w:val="clear" w:fill="F2F4F7"/>
        <w:spacing w:before="80" w:after="160" w:line="300" w:lineRule="auto"/>
        <w:ind w:left="120" w:right="120"/>
      </w:pPr>
      <w:r>
        <w:rPr>
          <w:rFonts w:ascii="Calibri" w:hAnsi="Calibri" w:eastAsia="微软雅黑"/>
          <w:b/>
          <w:color w:val="1F4D78"/>
          <w:sz w:val="22"/>
        </w:rPr>
        <w:t>文档用途</w:t>
      </w:r>
      <w:r>
        <w:rPr>
          <w:rFonts w:ascii="Calibri" w:hAnsi="Calibri" w:eastAsia="微软雅黑"/>
          <w:b/>
          <w:color w:val="1F4D78"/>
          <w:sz w:val="22"/>
        </w:rPr>
        <w:br w:type="textWrapping"/>
      </w:r>
      <w:r>
        <w:rPr>
          <w:rFonts w:ascii="Calibri" w:hAnsi="Calibri" w:eastAsia="微软雅黑"/>
          <w:sz w:val="21"/>
        </w:rPr>
        <w:t>用于说明 ExpertSearch 的建设目标、总体架构、关键模块、运行流程、数据质量机制、输出规范与测试方法，可作为项目汇报、技术交接和后续迭代的基础材料。</w:t>
      </w:r>
    </w:p>
    <w:p w14:paraId="471E60B7">
      <w:pPr>
        <w:spacing w:before="1240"/>
        <w:jc w:val="center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color w:val="606B7A"/>
          <w:sz w:val="21"/>
        </w:rPr>
        <w:t>版本：1.0  |  更新日期：2026-07-</w:t>
      </w:r>
      <w:r>
        <w:rPr>
          <w:rFonts w:hint="eastAsia"/>
          <w:color w:val="606B7A"/>
          <w:sz w:val="21"/>
          <w:lang w:val="en-US" w:eastAsia="zh-CN"/>
        </w:rPr>
        <w:t>20</w:t>
      </w:r>
      <w:bookmarkStart w:id="0" w:name="_GoBack"/>
      <w:bookmarkEnd w:id="0"/>
    </w:p>
    <w:p w14:paraId="58E14F68">
      <w:pPr>
        <w:jc w:val="center"/>
      </w:pPr>
      <w:r>
        <w:rPr>
          <w:rFonts w:ascii="Calibri" w:hAnsi="Calibri" w:eastAsia="微软雅黑"/>
          <w:color w:val="606B7A"/>
          <w:sz w:val="19"/>
        </w:rPr>
        <w:t>项目目录：C:\Users\胡中文\Documents\Codex\ExpertSearch</w:t>
      </w:r>
    </w:p>
    <w:p w14:paraId="0F904423">
      <w:r>
        <w:br w:type="page"/>
      </w:r>
    </w:p>
    <w:p w14:paraId="6F3E0FBF">
      <w:pPr>
        <w:pStyle w:val="3"/>
        <w:keepNext/>
        <w:keepLines/>
      </w:pPr>
      <w:r>
        <w:t>1. 项目概述</w:t>
      </w:r>
    </w:p>
    <w:p w14:paraId="4E4A44C6">
      <w:r>
        <w:rPr>
          <w:rFonts w:ascii="Calibri" w:hAnsi="Calibri" w:eastAsia="微软雅黑"/>
          <w:sz w:val="22"/>
        </w:rPr>
        <w:t>ExpertSearch 是一个面向全球专家发现与人才画像构建的智能检索系统。系统以用户输入的大领域和多个细分领域为任务入口，通过 Python 调用公开学术数据库、网页搜索、个人主页访问及浏览器回退工具，形成可追溯证据，再由多智能体工作流完成结构化整理、验证、纠错、补全、评分和 Excel 交付。</w:t>
      </w:r>
    </w:p>
    <w:p w14:paraId="57A09CB9">
      <w:pPr>
        <w:pBdr>
          <w:top w:val="single" w:color="CBD5E1" w:sz="6" w:space="6"/>
          <w:bottom w:val="single" w:color="CBD5E1" w:sz="6" w:space="6"/>
        </w:pBdr>
        <w:shd w:val="clear" w:fill="EAF7F1"/>
        <w:spacing w:before="80" w:after="160" w:line="300" w:lineRule="auto"/>
        <w:ind w:left="120" w:right="120"/>
      </w:pPr>
      <w:r>
        <w:rPr>
          <w:rFonts w:ascii="Calibri" w:hAnsi="Calibri" w:eastAsia="微软雅黑"/>
          <w:b/>
          <w:color w:val="1F4D78"/>
          <w:sz w:val="22"/>
        </w:rPr>
        <w:t>核心定位</w:t>
      </w:r>
      <w:r>
        <w:rPr>
          <w:rFonts w:ascii="Calibri" w:hAnsi="Calibri" w:eastAsia="微软雅黑"/>
          <w:b/>
          <w:color w:val="1F4D78"/>
          <w:sz w:val="22"/>
        </w:rPr>
        <w:br w:type="textWrapping"/>
      </w:r>
      <w:r>
        <w:rPr>
          <w:rFonts w:ascii="Calibri" w:hAnsi="Calibri" w:eastAsia="微软雅黑"/>
          <w:sz w:val="21"/>
        </w:rPr>
        <w:t>系统不是依靠大模型自由生成专家名单，而是执行“Python 先取证、LLM 后整理、规则与网页证据再核验”的证据驱动流程。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26EB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426C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2"/>
              </w:rPr>
              <w:t>项目项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7DDB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2"/>
              </w:rPr>
              <w:t>说明</w:t>
            </w:r>
          </w:p>
        </w:tc>
      </w:tr>
      <w:tr w14:paraId="6C13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0D40">
            <w:pPr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主要用户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37AA">
            <w:pPr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科研管理、人才引进、学科建设、产业研究与专家网络分析人员</w:t>
            </w:r>
          </w:p>
        </w:tc>
      </w:tr>
      <w:tr w14:paraId="788D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41BB">
            <w:pPr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核心输入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9BD2">
            <w:pPr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主要大领域、一个或多个细分领域、国内专家范围、补充网页、PDF 或 Word 文件</w:t>
            </w:r>
          </w:p>
        </w:tc>
      </w:tr>
      <w:tr w14:paraId="2DCC3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19BB">
            <w:pPr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核心输出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BFBD">
            <w:pPr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经过清洗、验证、补全、评分和中文规范化的最终专家 Excel 名单</w:t>
            </w:r>
          </w:p>
        </w:tc>
      </w:tr>
      <w:tr w14:paraId="70FA3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AB4E">
            <w:pPr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当前规模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290F">
            <w:pPr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每个细分领域最多 15 位专家；多个细分领域合并形成大领域覆盖</w:t>
            </w:r>
          </w:p>
        </w:tc>
      </w:tr>
      <w:tr w14:paraId="386F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4153">
            <w:pPr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技术框架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F22F">
            <w:pPr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Streamlit + LangGraph + OpenAI 兼容 LLM + pandas/openpyxl</w:t>
            </w:r>
          </w:p>
        </w:tc>
      </w:tr>
    </w:tbl>
    <w:p w14:paraId="2F6A921C">
      <w:pPr>
        <w:spacing w:after="20"/>
      </w:pPr>
    </w:p>
    <w:p w14:paraId="79EA4CB3">
      <w:pPr>
        <w:pStyle w:val="3"/>
        <w:keepNext/>
        <w:keepLines/>
      </w:pPr>
      <w:r>
        <w:t>2. 建设目标</w:t>
      </w:r>
    </w:p>
    <w:p w14:paraId="3ECD8BCF">
      <w:pPr>
        <w:pStyle w:val="16"/>
      </w:pPr>
      <w:r>
        <w:rPr>
          <w:rFonts w:ascii="Calibri" w:hAnsi="Calibri" w:eastAsia="微软雅黑"/>
          <w:sz w:val="22"/>
        </w:rPr>
        <w:t>提高全球专家发现效率，覆盖不同层次、不同机构和不同国家或地区的高影响力人才。</w:t>
      </w:r>
    </w:p>
    <w:p w14:paraId="40E68019">
      <w:pPr>
        <w:pStyle w:val="16"/>
      </w:pPr>
      <w:r>
        <w:rPr>
          <w:rFonts w:ascii="Calibri" w:hAnsi="Calibri" w:eastAsia="微软雅黑"/>
          <w:sz w:val="22"/>
        </w:rPr>
        <w:t>围绕具体细分领域建立直接关联证据，避免仅凭宽泛学科标签纳入专家。</w:t>
      </w:r>
    </w:p>
    <w:p w14:paraId="7F52ECC2">
      <w:pPr>
        <w:pStyle w:val="16"/>
      </w:pPr>
      <w:r>
        <w:rPr>
          <w:rFonts w:ascii="Calibri" w:hAnsi="Calibri" w:eastAsia="微软雅黑"/>
          <w:sz w:val="22"/>
        </w:rPr>
        <w:t>优先补全姓名、国籍、工作机构、职位、工作经历、主要成果、联系方式及国内合作信息。</w:t>
      </w:r>
    </w:p>
    <w:p w14:paraId="55321962">
      <w:pPr>
        <w:pStyle w:val="16"/>
      </w:pPr>
      <w:r>
        <w:rPr>
          <w:rFonts w:ascii="Calibri" w:hAnsi="Calibri" w:eastAsia="微软雅黑"/>
          <w:sz w:val="22"/>
        </w:rPr>
        <w:t>对姓名身份、学术指标、个人主页、领域相关性和生存状态实施独立核验。</w:t>
      </w:r>
    </w:p>
    <w:p w14:paraId="7BC98B56">
      <w:pPr>
        <w:pStyle w:val="16"/>
      </w:pPr>
      <w:r>
        <w:rPr>
          <w:rFonts w:ascii="Calibri" w:hAnsi="Calibri" w:eastAsia="微软雅黑"/>
          <w:sz w:val="22"/>
        </w:rPr>
        <w:t>保留具体网页来源，形成可追溯、可复核、可继续补充的结构化专家库。</w:t>
      </w:r>
    </w:p>
    <w:p w14:paraId="3046FE87">
      <w:pPr>
        <w:pStyle w:val="16"/>
      </w:pPr>
      <w:r>
        <w:rPr>
          <w:rFonts w:ascii="Calibri" w:hAnsi="Calibri" w:eastAsia="微软雅黑"/>
          <w:sz w:val="22"/>
        </w:rPr>
        <w:t>在外部工具局部失败时保持主流程可继续运行，并通过日志说明降级情况。</w:t>
      </w:r>
    </w:p>
    <w:p w14:paraId="231E6A17">
      <w:pPr>
        <w:pStyle w:val="3"/>
        <w:keepNext/>
        <w:keepLines/>
      </w:pPr>
      <w:r>
        <w:t>3. 系统总体架构</w:t>
      </w:r>
    </w:p>
    <w:p w14:paraId="1B754A2D">
      <w:r>
        <w:rPr>
          <w:rFonts w:ascii="Calibri" w:hAnsi="Calibri" w:eastAsia="微软雅黑"/>
          <w:sz w:val="22"/>
        </w:rPr>
        <w:t>系统由前端交互层、LangGraph 多智能体编排层、外部证据获取层、专家信息补全与质量控制层、Excel 交付层五部分组成。各层之间通过明确的数据字段和文件路径闭环传递。</w:t>
      </w:r>
    </w:p>
    <w:p w14:paraId="22F65372">
      <w:pPr>
        <w:spacing w:before="120" w:after="100"/>
        <w:jc w:val="center"/>
      </w:pPr>
      <w:r>
        <w:drawing>
          <wp:inline distT="0" distB="0" distL="114300" distR="114300">
            <wp:extent cx="5257800" cy="7886700"/>
            <wp:effectExtent l="0" t="0" r="0" b="0"/>
            <wp:docPr id="1" name="Picture 1" descr="ExpertSearch 系统端到端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ertSearch 系统端到端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627C">
      <w:pPr>
        <w:spacing w:after="160"/>
        <w:jc w:val="center"/>
      </w:pPr>
      <w:r>
        <w:rPr>
          <w:rFonts w:ascii="Calibri" w:hAnsi="Calibri" w:eastAsia="微软雅黑"/>
          <w:i/>
          <w:color w:val="606B7A"/>
          <w:sz w:val="19"/>
        </w:rPr>
        <w:t>图 1  ExpertSearch 系统端到端流程</w:t>
      </w:r>
    </w:p>
    <w:p w14:paraId="3A2C114F">
      <w:pPr>
        <w:pStyle w:val="4"/>
        <w:keepNext/>
        <w:keepLines/>
      </w:pPr>
      <w:r>
        <w:t>3.1 前端交互层</w:t>
      </w:r>
    </w:p>
    <w:p w14:paraId="36C5FE93">
      <w:r>
        <w:rPr>
          <w:rFonts w:ascii="Calibri" w:hAnsi="Calibri" w:eastAsia="微软雅黑"/>
          <w:sz w:val="22"/>
        </w:rPr>
        <w:t>app.py 提供居中式 Streamlit 工作台，负责领域输入、细分领域推荐或手工选择、国内专家范围控制、补充网址、文件上传、批量运行进度、错误展示和最终文件下载。</w:t>
      </w:r>
    </w:p>
    <w:p w14:paraId="4F449D28">
      <w:pPr>
        <w:pStyle w:val="4"/>
        <w:keepNext/>
        <w:keepLines/>
      </w:pPr>
      <w:r>
        <w:t>3.2 LangGraph 编排层</w:t>
      </w:r>
    </w:p>
    <w:p w14:paraId="29DA1109">
      <w:r>
        <w:rPr>
          <w:rFonts w:ascii="Calibri" w:hAnsi="Calibri" w:eastAsia="微软雅黑"/>
          <w:sz w:val="22"/>
        </w:rPr>
        <w:t>main.py 使用 StateGraph 按固定顺序编排五个节点。state.py 中的 AgentState 是节点间唯一状态契约，require_state_value() 对必需字段执行防御性检查，避免上游未产出时下游静默运行。</w:t>
      </w:r>
    </w:p>
    <w:p w14:paraId="1EBB0465">
      <w:pPr>
        <w:pStyle w:val="4"/>
        <w:keepNext/>
        <w:keepLines/>
      </w:pPr>
      <w:r>
        <w:t>3.3 外部证据与补全层</w:t>
      </w:r>
    </w:p>
    <w:p w14:paraId="5573E7AD">
      <w:r>
        <w:rPr>
          <w:rFonts w:ascii="Calibri" w:hAnsi="Calibri" w:eastAsia="微软雅黑"/>
          <w:sz w:val="22"/>
        </w:rPr>
        <w:t>外部服务由 Python 主动调用，不采用 LLM tool-calling。研究员节点接收已经过预算裁剪的 OpenAlex、Tavily、补充网页、上传文件和可选 Semantic Scholar 证据；最终补全层再按专家缺失字段定向访问数据库、个人主页和网页搜索。</w:t>
      </w:r>
    </w:p>
    <w:p w14:paraId="076F3349">
      <w:pPr>
        <w:pStyle w:val="3"/>
        <w:keepNext/>
        <w:keepLines/>
      </w:pPr>
      <w:r>
        <w:t>4. LangGraph 节点与状态流转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4000"/>
        <w:gridCol w:w="1660"/>
      </w:tblGrid>
      <w:tr w14:paraId="7FB20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9590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节点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D370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读取字段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756E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主要职责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2D45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输出字段</w:t>
            </w:r>
          </w:p>
        </w:tc>
      </w:tr>
      <w:tr w14:paraId="4F13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BB73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document_processor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7CA4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supplemental_document_context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1DB9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压缩用户上传文件中的专家、机构、成果、奖项和来源证据；失败时回退到 Python 压缩结果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26BF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compressed_supplemental_document_context</w:t>
            </w:r>
          </w:p>
        </w:tc>
      </w:tr>
      <w:tr w14:paraId="46282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B60C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researcher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741D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query、压缩文档、排除名单、目标人数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DA07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汇总外部证据并按 10 人分块整理结构化专家表；15 人目标通常分为 10+5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E1B1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research_data</w:t>
            </w:r>
          </w:p>
        </w:tc>
      </w:tr>
      <w:tr w14:paraId="574AA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9B0F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validator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0BA0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research_data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E5D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核对姓名、机构、职位、领域关联、成果、来源、联系方式及生存状态线索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F572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validation_feedback</w:t>
            </w:r>
          </w:p>
        </w:tc>
      </w:tr>
      <w:tr w14:paraId="4CA7F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F492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corrector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04E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research_data、validation_feedback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08E6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按验证反馈修正数据，同时保留未被指出问题的专家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5C2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final_data</w:t>
            </w:r>
          </w:p>
        </w:tc>
      </w:tr>
      <w:tr w14:paraId="715A1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7472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excel_converter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0276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final_data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D716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解析 Markdown 表、添加学术指标和补全信息、写出临时批次文件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3512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excel_path</w:t>
            </w:r>
          </w:p>
        </w:tc>
      </w:tr>
    </w:tbl>
    <w:p w14:paraId="4187608A">
      <w:pPr>
        <w:spacing w:after="20"/>
      </w:pPr>
    </w:p>
    <w:p w14:paraId="7D7E7E5A">
      <w:pPr>
        <w:pStyle w:val="3"/>
        <w:keepNext/>
        <w:keepLines/>
      </w:pPr>
      <w:r>
        <w:t>5. 检索与证据获取机制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900"/>
        <w:gridCol w:w="2760"/>
      </w:tblGrid>
      <w:tr w14:paraId="7E89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9B01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数据源或工具</w:t>
            </w:r>
          </w:p>
        </w:tc>
        <w:tc>
          <w:tcPr>
            <w:tcW w:w="49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B41E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主要用途</w:t>
            </w:r>
          </w:p>
        </w:tc>
        <w:tc>
          <w:tcPr>
            <w:tcW w:w="27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EE93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失败处理</w:t>
            </w:r>
          </w:p>
        </w:tc>
      </w:tr>
      <w:tr w14:paraId="28D2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7139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OpenAlex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09C1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候选作者、作品、机构、主题、H 指数、i10 指数和总被引次数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62AD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拒绝低可信同名匹配；失败后保留其他来源数据</w:t>
            </w:r>
          </w:p>
        </w:tc>
      </w:tr>
      <w:tr w14:paraId="7460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258B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Tavily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648B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个人主页、邮箱、奖项、协会身份、榜单、合作新闻和补充来源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55AF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记录错误并继续；定向补全时按字段生成查询</w:t>
            </w:r>
          </w:p>
        </w:tc>
      </w:tr>
      <w:tr w14:paraId="4E383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B70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Semantic Scholar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EF1E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作者与代表论文交叉验证，默认不作为研究员主上下文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E42F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遵守 1 request/sec；429 后进入冷却，按需跳过</w:t>
            </w:r>
          </w:p>
        </w:tc>
      </w:tr>
      <w:tr w14:paraId="188D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3A7C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普通 HTTP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84A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直接读取官方主页或机构页面正文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E424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403、404、SSL、超时或正文不足时尝试 OpenCLI</w:t>
            </w:r>
          </w:p>
        </w:tc>
      </w:tr>
      <w:tr w14:paraId="746B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186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OpenCLI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44E9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使用真实浏览器渲染读取动态主页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5A41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扩展或 Bridge 不可用时自动跳过，不中断主流程</w:t>
            </w:r>
          </w:p>
        </w:tc>
      </w:tr>
      <w:tr w14:paraId="639B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31E5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补充网页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EEFC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用户指定的公开人才名单、奖项官网、协会名录或单位页面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846A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只作为候选与证据，不直接替代身份和领域核验</w:t>
            </w:r>
          </w:p>
        </w:tc>
      </w:tr>
      <w:tr w14:paraId="0C95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2730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PDF / Word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747F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补充候选专家、人才名单、机构信息、成果、奖项和来源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3AD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Python 先筛选相关段落，文档智能体再压缩，避免原文直接挤占上下文</w:t>
            </w:r>
          </w:p>
        </w:tc>
      </w:tr>
    </w:tbl>
    <w:p w14:paraId="2A41E90B">
      <w:pPr>
        <w:spacing w:after="20"/>
      </w:pPr>
    </w:p>
    <w:p w14:paraId="4A8D4D66">
      <w:pPr>
        <w:pStyle w:val="3"/>
        <w:keepNext/>
        <w:keepLines/>
      </w:pPr>
      <w:r>
        <w:t>6. 批量检索与人数控制</w:t>
      </w:r>
    </w:p>
    <w:p w14:paraId="1A756AB8">
      <w:r>
        <w:rPr>
          <w:rFonts w:ascii="Calibri" w:hAnsi="Calibri" w:eastAsia="微软雅黑"/>
          <w:sz w:val="22"/>
        </w:rPr>
        <w:t>前端对每个细分领域建立独立任务和专家排除名单。当前默认目标为每个细分领域最多 15 位专家，以更多细分领域换取更全面的大领域覆盖。</w:t>
      </w:r>
    </w:p>
    <w:p w14:paraId="018F2839">
      <w:pPr>
        <w:pStyle w:val="14"/>
      </w:pPr>
      <w:r>
        <w:rPr>
          <w:rFonts w:ascii="Calibri" w:hAnsi="Calibri" w:eastAsia="微软雅黑"/>
          <w:sz w:val="22"/>
        </w:rPr>
        <w:t>对当前细分领域发起一次综合检索，要求候选人具有直接领域关联证据。</w:t>
      </w:r>
    </w:p>
    <w:p w14:paraId="07043FF3">
      <w:pPr>
        <w:pStyle w:val="14"/>
      </w:pPr>
      <w:r>
        <w:rPr>
          <w:rFonts w:ascii="Calibri" w:hAnsi="Calibri" w:eastAsia="微软雅黑"/>
          <w:sz w:val="22"/>
        </w:rPr>
        <w:t>研究员节点按 RESEARCHER_CHUNK_SIZE=10 分块，因此 15 位通常由 10 位和 5 位两批整理。</w:t>
      </w:r>
    </w:p>
    <w:p w14:paraId="39375384">
      <w:pPr>
        <w:pStyle w:val="14"/>
      </w:pPr>
      <w:r>
        <w:rPr>
          <w:rFonts w:ascii="Calibri" w:hAnsi="Calibri" w:eastAsia="微软雅黑"/>
          <w:sz w:val="22"/>
        </w:rPr>
        <w:t>若批次实际新增不足 15 位，前端携带已经发现的专家姓名执行恢复检索和最终补位。</w:t>
      </w:r>
    </w:p>
    <w:p w14:paraId="66A6C1B5">
      <w:pPr>
        <w:pStyle w:val="14"/>
      </w:pPr>
      <w:r>
        <w:rPr>
          <w:rFonts w:ascii="Calibri" w:hAnsi="Calibri" w:eastAsia="微软雅黑"/>
          <w:sz w:val="22"/>
        </w:rPr>
        <w:t>不同细分领域允许同一专家重复出现；最终合并时将多个真实细分领域归属合并到同一专家。</w:t>
      </w:r>
    </w:p>
    <w:p w14:paraId="4A5A3A24">
      <w:pPr>
        <w:pStyle w:val="14"/>
      </w:pPr>
      <w:r>
        <w:rPr>
          <w:rFonts w:ascii="Calibri" w:hAnsi="Calibri" w:eastAsia="微软雅黑"/>
          <w:sz w:val="22"/>
        </w:rPr>
        <w:t>最终总容量为 15 × 用户选择的细分领域数量，并尽量在各细分领域间均衡分配。</w:t>
      </w:r>
    </w:p>
    <w:p w14:paraId="63075AEE">
      <w:pPr>
        <w:pStyle w:val="3"/>
        <w:keepNext/>
        <w:keepLines/>
      </w:pPr>
      <w:r>
        <w:t>7. 数据清洗与质量控制</w:t>
      </w:r>
    </w:p>
    <w:p w14:paraId="76CCD1E2">
      <w:pPr>
        <w:pStyle w:val="4"/>
        <w:keepNext/>
        <w:keepLines/>
      </w:pPr>
      <w:r>
        <w:t>7.1 身份与姓名验证</w:t>
      </w:r>
    </w:p>
    <w:p w14:paraId="61873E5F">
      <w:r>
        <w:rPr>
          <w:rFonts w:ascii="Calibri" w:hAnsi="Calibri" w:eastAsia="微软雅黑"/>
          <w:sz w:val="22"/>
        </w:rPr>
        <w:t>系统综合姓名、机构、主题、主页正文及公开数据库匹配结果生成“专家姓名验证”和“姓名验证依据”。证据充分时标记为“已验证”，否则保留为“待复核”，不以模型自我声明替代外部证据。</w:t>
      </w:r>
    </w:p>
    <w:p w14:paraId="1B0AB63C">
      <w:pPr>
        <w:pStyle w:val="4"/>
        <w:keepNext/>
        <w:keepLines/>
      </w:pPr>
      <w:r>
        <w:t>7.2 明显领域错配清洗</w:t>
      </w:r>
    </w:p>
    <w:p w14:paraId="4FDEF6A5">
      <w:r>
        <w:rPr>
          <w:rFonts w:ascii="Calibri" w:hAnsi="Calibri" w:eastAsia="微软雅黑"/>
          <w:sz w:val="22"/>
        </w:rPr>
        <w:t>utils.filter_obvious_domain_mismatches() 在昂贵补全前和最终合并后运行。只有当专家核心信息中没有目标领域正向证据，同时出现强冲突领域信号时才剔除。例如农业检索中出现仅研究精神病学、精神分裂症的专家可直接排除；研究“计算机视觉用于作物病害识别”的交叉专家会因存在农业正向证据而保留。</w:t>
      </w:r>
    </w:p>
    <w:p w14:paraId="62D385D8">
      <w:pPr>
        <w:pStyle w:val="4"/>
        <w:keepNext/>
        <w:keepLines/>
      </w:pPr>
      <w:r>
        <w:t>7.3 生存状态核验</w:t>
      </w:r>
    </w:p>
    <w:p w14:paraId="27387C07">
      <w:r>
        <w:rPr>
          <w:rFonts w:ascii="Calibri" w:hAnsi="Calibri" w:eastAsia="微软雅黑"/>
          <w:sz w:val="22"/>
        </w:rPr>
        <w:t>LLM 输出的生存状态只作为线索。独立核验层通过网页证据查找讣告、逝世公告等明确死亡关系；只有姓名匹配且证据达到门槛时才标记“确认已故”并从最终名单剔除，单一弱证据仅标记“疑似已故待复核”。</w:t>
      </w:r>
    </w:p>
    <w:p w14:paraId="2C94EF8C">
      <w:pPr>
        <w:pStyle w:val="4"/>
        <w:keepNext/>
        <w:keepLines/>
      </w:pPr>
      <w:r>
        <w:t>7.4 去重、指标与缺失信息</w:t>
      </w:r>
    </w:p>
    <w:p w14:paraId="347EF5BC">
      <w:pPr>
        <w:pStyle w:val="16"/>
      </w:pPr>
      <w:r>
        <w:rPr>
          <w:rFonts w:ascii="Calibri" w:hAnsi="Calibri" w:eastAsia="微软雅黑"/>
          <w:sz w:val="22"/>
        </w:rPr>
        <w:t>近似姓名去重可合并带中间名缩写等变体，并优先保留评分更高、信息更完整的记录。</w:t>
      </w:r>
    </w:p>
    <w:p w14:paraId="2D1CBDAB">
      <w:pPr>
        <w:pStyle w:val="16"/>
      </w:pPr>
      <w:r>
        <w:rPr>
          <w:rFonts w:ascii="Calibri" w:hAnsi="Calibri" w:eastAsia="微软雅黑"/>
          <w:sz w:val="22"/>
        </w:rPr>
        <w:t>低可信数据库匹配不得覆盖已有的高 H 指数或高引用信息。</w:t>
      </w:r>
    </w:p>
    <w:p w14:paraId="00E786F5">
      <w:pPr>
        <w:pStyle w:val="16"/>
      </w:pPr>
      <w:r>
        <w:rPr>
          <w:rFonts w:ascii="Calibri" w:hAnsi="Calibri" w:eastAsia="微软雅黑"/>
          <w:sz w:val="22"/>
        </w:rPr>
        <w:t>联系方式只保留可验证的真实邮箱，不写电话、邮编、年份或推测邮箱。</w:t>
      </w:r>
    </w:p>
    <w:p w14:paraId="59D6875C">
      <w:pPr>
        <w:pStyle w:val="16"/>
      </w:pPr>
      <w:r>
        <w:rPr>
          <w:rFonts w:ascii="Calibri" w:hAnsi="Calibri" w:eastAsia="微软雅黑"/>
          <w:sz w:val="22"/>
        </w:rPr>
        <w:t>关键字段缺失时执行定向补全；仍无公开证据时保留“暂无公开信息”，禁止编造。</w:t>
      </w:r>
    </w:p>
    <w:p w14:paraId="4A5FF24C">
      <w:pPr>
        <w:pStyle w:val="16"/>
      </w:pPr>
      <w:r>
        <w:rPr>
          <w:rFonts w:ascii="Calibri" w:hAnsi="Calibri" w:eastAsia="微软雅黑"/>
          <w:sz w:val="22"/>
        </w:rPr>
        <w:t>最终中文交付执行术语规范化、批量翻译和英文残留检查。</w:t>
      </w:r>
    </w:p>
    <w:p w14:paraId="474BE747">
      <w:pPr>
        <w:pStyle w:val="3"/>
        <w:keepNext/>
        <w:keepLines/>
      </w:pPr>
      <w:r>
        <w:t>8. 评分与排名规则</w:t>
      </w:r>
    </w:p>
    <w:p w14:paraId="1A02784A">
      <w:pPr>
        <w:pBdr>
          <w:top w:val="single" w:color="CBD5E1" w:sz="6" w:space="6"/>
          <w:bottom w:val="single" w:color="CBD5E1" w:sz="6" w:space="6"/>
        </w:pBdr>
        <w:shd w:val="clear" w:fill="FFF7E6"/>
        <w:spacing w:before="80" w:after="160" w:line="300" w:lineRule="auto"/>
        <w:ind w:left="120" w:right="120"/>
      </w:pPr>
      <w:r>
        <w:rPr>
          <w:rFonts w:ascii="Calibri" w:hAnsi="Calibri" w:eastAsia="微软雅黑"/>
          <w:b/>
          <w:color w:val="1F4D78"/>
          <w:sz w:val="22"/>
        </w:rPr>
        <w:t>综合评价公式</w:t>
      </w:r>
      <w:r>
        <w:rPr>
          <w:rFonts w:ascii="Calibri" w:hAnsi="Calibri" w:eastAsia="微软雅黑"/>
          <w:b/>
          <w:color w:val="1F4D78"/>
          <w:sz w:val="22"/>
        </w:rPr>
        <w:br w:type="textWrapping"/>
      </w:r>
      <w:r>
        <w:rPr>
          <w:rFonts w:ascii="Calibri" w:hAnsi="Calibri" w:eastAsia="微软雅黑"/>
          <w:sz w:val="21"/>
        </w:rPr>
        <w:t>TotalScore = H指数 + log10(总被引次数) × 15 + i10指数 × 0.2 + TitleBonus</w:t>
      </w:r>
    </w:p>
    <w:p w14:paraId="17A55234">
      <w:r>
        <w:rPr>
          <w:rFonts w:ascii="Calibri" w:hAnsi="Calibri" w:eastAsia="微软雅黑"/>
          <w:sz w:val="22"/>
        </w:rPr>
        <w:t>TitleBonus 来自有公开证据支持的院士、Fellow、诺贝尔奖、图灵奖、菲尔兹奖等头衔或荣誉。综合分数用于排序，不替代身份、领域关联和来源验证。指标缺失会降低评分完整度，因此正式决策仍需结合证据字段阅读。</w:t>
      </w:r>
    </w:p>
    <w:p w14:paraId="4F7BB1E8">
      <w:pPr>
        <w:pStyle w:val="3"/>
        <w:keepNext/>
        <w:keepLines/>
      </w:pPr>
      <w:r>
        <w:t>9. 最终 Excel 输出</w:t>
      </w:r>
    </w:p>
    <w:p w14:paraId="0C56F612">
      <w:r>
        <w:rPr>
          <w:rFonts w:ascii="Calibri" w:hAnsi="Calibri" w:eastAsia="微软雅黑"/>
          <w:sz w:val="22"/>
        </w:rPr>
        <w:t>最终文件仅保存在 Expert_Results/ 目录，命名格式为“大领域_YYYYMMDD_HHMMSS_批量专家总名单.xlsx”。运行期 Expert_Data_*.xlsx 写入系统临时目录，汇总完成后清理，不在前端展示。</w:t>
      </w:r>
    </w:p>
    <w:p w14:paraId="5B1BB998">
      <w:pPr>
        <w:pStyle w:val="4"/>
        <w:keepNext/>
        <w:keepLines/>
      </w:pPr>
      <w:r>
        <w:t>9.1 重点交付字段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200"/>
        <w:gridCol w:w="6260"/>
      </w:tblGrid>
      <w:tr w14:paraId="498E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EF36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顺序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5D85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字段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3E70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内容要求</w:t>
            </w:r>
          </w:p>
        </w:tc>
      </w:tr>
      <w:tr w14:paraId="273D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F2D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070D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姓名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B97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专家真实姓名，保留必要的原文拼写</w:t>
            </w:r>
          </w:p>
        </w:tc>
      </w:tr>
      <w:tr w14:paraId="1AB5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6FD7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9C8C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国籍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C0EB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有来源支持的国籍或地区信息</w:t>
            </w:r>
          </w:p>
        </w:tc>
      </w:tr>
      <w:tr w14:paraId="678E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463F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21C2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所在工作机构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A600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当前主要任职机构</w:t>
            </w:r>
          </w:p>
        </w:tc>
      </w:tr>
      <w:tr w14:paraId="47625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D7E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F75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职位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EF9A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当前职务、教授或管理岗位</w:t>
            </w:r>
          </w:p>
        </w:tc>
      </w:tr>
      <w:tr w14:paraId="39C4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8E13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E2F7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学科领域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F08E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用户输入的主要大领域</w:t>
            </w:r>
          </w:p>
        </w:tc>
      </w:tr>
      <w:tr w14:paraId="567A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567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FC82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细分领域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843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专家实际所属的一个或多个细分方向</w:t>
            </w:r>
          </w:p>
        </w:tc>
      </w:tr>
      <w:tr w14:paraId="4A89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7ADC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AA71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工作经历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E1C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重要历史机构、岗位与职业经历</w:t>
            </w:r>
          </w:p>
        </w:tc>
      </w:tr>
      <w:tr w14:paraId="72FB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146E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E434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主要成果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F6D0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论文、技术、项目、专利、品种或奖项等具体成果</w:t>
            </w:r>
          </w:p>
        </w:tc>
      </w:tr>
      <w:tr w14:paraId="26B5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48C2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0F47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联系方式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30B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公开可验证的真实邮箱</w:t>
            </w:r>
          </w:p>
        </w:tc>
      </w:tr>
      <w:tr w14:paraId="573E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9EEF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E06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国内合作学者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5D3C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有合著、项目、新闻或活动证据的合作学者</w:t>
            </w:r>
          </w:p>
        </w:tc>
      </w:tr>
      <w:tr w14:paraId="467E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330D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5D22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国内合作单位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76D9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有直接合作证据的中国机构</w:t>
            </w:r>
          </w:p>
        </w:tc>
      </w:tr>
      <w:tr w14:paraId="6357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E4B5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348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入选依据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72F8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院士、Fellow、奖项、权威榜单或突出学术影响力</w:t>
            </w:r>
          </w:p>
        </w:tc>
      </w:tr>
    </w:tbl>
    <w:p w14:paraId="2A88EB14">
      <w:pPr>
        <w:spacing w:after="20"/>
      </w:pPr>
    </w:p>
    <w:p w14:paraId="497BF3C2">
      <w:pPr>
        <w:pStyle w:val="4"/>
        <w:keepNext/>
        <w:keepLines/>
      </w:pPr>
      <w:r>
        <w:t>9.2 支撑与审计字段</w:t>
      </w:r>
    </w:p>
    <w:p w14:paraId="40F5E6DB">
      <w:r>
        <w:rPr>
          <w:rFonts w:ascii="Calibri" w:hAnsi="Calibri" w:eastAsia="微软雅黑"/>
          <w:sz w:val="22"/>
        </w:rPr>
        <w:t>主表后续还包含个人主页、研究兴趣、教育背景、H 指数、i10 指数、总被引、评分明细、主页访问状态、姓名验证、生存状态核验、领域关联依据和具体信息来源。Semantic Scholar 的内部作者 ID、技术匹配字段不在最终 Excel 展示。</w:t>
      </w:r>
    </w:p>
    <w:p w14:paraId="42091C7B">
      <w:pPr>
        <w:pStyle w:val="3"/>
        <w:keepNext/>
        <w:keepLines/>
      </w:pPr>
      <w:r>
        <w:t>10. 运行环境与启动方式</w:t>
      </w:r>
    </w:p>
    <w:p w14:paraId="56789EDE">
      <w:pPr>
        <w:pStyle w:val="4"/>
        <w:keepNext/>
        <w:keepLines/>
      </w:pPr>
      <w:r>
        <w:t>10.1 推荐启动</w:t>
      </w:r>
    </w:p>
    <w:p w14:paraId="25DD0230">
      <w:pPr>
        <w:pBdr>
          <w:top w:val="single" w:color="CBD5E1" w:sz="6" w:space="6"/>
          <w:bottom w:val="single" w:color="CBD5E1" w:sz="6" w:space="6"/>
        </w:pBdr>
        <w:shd w:val="clear" w:fill="EAF7F1"/>
        <w:spacing w:before="80" w:after="160" w:line="300" w:lineRule="auto"/>
        <w:ind w:left="120" w:right="120"/>
      </w:pPr>
      <w:r>
        <w:rPr>
          <w:rFonts w:ascii="Calibri" w:hAnsi="Calibri" w:eastAsia="微软雅黑"/>
          <w:b/>
          <w:color w:val="1F4D78"/>
          <w:sz w:val="22"/>
        </w:rPr>
        <w:t>带日志启动</w:t>
      </w:r>
      <w:r>
        <w:rPr>
          <w:rFonts w:ascii="Calibri" w:hAnsi="Calibri" w:eastAsia="微软雅黑"/>
          <w:b/>
          <w:color w:val="1F4D78"/>
          <w:sz w:val="22"/>
        </w:rPr>
        <w:br w:type="textWrapping"/>
      </w:r>
      <w:r>
        <w:rPr>
          <w:rFonts w:ascii="Calibri" w:hAnsi="Calibri" w:eastAsia="微软雅黑"/>
          <w:sz w:val="21"/>
        </w:rPr>
        <w:t>.\start_streamlit_logged.cmd</w:t>
      </w:r>
    </w:p>
    <w:p w14:paraId="3C63B950">
      <w:r>
        <w:rPr>
          <w:rFonts w:ascii="Calibri" w:hAnsi="Calibri" w:eastAsia="微软雅黑"/>
          <w:sz w:val="22"/>
        </w:rPr>
        <w:t>该脚本会避免重复启动 8501 端口实例，并尝试启动 OpenCLI Browser Bridge。OpenCLI 暂时不可用时只记录警告，系统仍使用普通 HTTP 访问继续运行。</w:t>
      </w:r>
    </w:p>
    <w:p w14:paraId="2D01677B">
      <w:pPr>
        <w:pStyle w:val="4"/>
        <w:keepNext/>
        <w:keepLines/>
      </w:pPr>
      <w:r>
        <w:t>10.2 直接启动</w:t>
      </w:r>
    </w:p>
    <w:p w14:paraId="6B3C5A8B">
      <w:pPr>
        <w:pBdr>
          <w:top w:val="single" w:color="CBD5E1" w:sz="6" w:space="6"/>
          <w:bottom w:val="single" w:color="CBD5E1" w:sz="6" w:space="6"/>
        </w:pBdr>
        <w:shd w:val="clear" w:fill="E8EEF5"/>
        <w:spacing w:before="80" w:after="160" w:line="300" w:lineRule="auto"/>
        <w:ind w:left="120" w:right="120"/>
      </w:pPr>
      <w:r>
        <w:rPr>
          <w:rFonts w:ascii="Calibri" w:hAnsi="Calibri" w:eastAsia="微软雅黑"/>
          <w:b/>
          <w:color w:val="1F4D78"/>
          <w:sz w:val="22"/>
        </w:rPr>
        <w:t>PowerShell 命令</w:t>
      </w:r>
      <w:r>
        <w:rPr>
          <w:rFonts w:ascii="Calibri" w:hAnsi="Calibri" w:eastAsia="微软雅黑"/>
          <w:b/>
          <w:color w:val="1F4D78"/>
          <w:sz w:val="22"/>
        </w:rPr>
        <w:br w:type="textWrapping"/>
      </w:r>
      <w:r>
        <w:rPr>
          <w:rFonts w:ascii="Calibri" w:hAnsi="Calibri" w:eastAsia="微软雅黑"/>
          <w:sz w:val="21"/>
        </w:rPr>
        <w:t>.\.venv\Scripts\python.exe -m streamlit run app.py</w:t>
      </w:r>
    </w:p>
    <w:p w14:paraId="5CB891EE">
      <w:pPr>
        <w:pStyle w:val="4"/>
        <w:keepNext/>
        <w:keepLines/>
      </w:pPr>
      <w:r>
        <w:t>10.3 代码修改后的处理</w:t>
      </w:r>
    </w:p>
    <w:p w14:paraId="3A844DD7">
      <w:r>
        <w:rPr>
          <w:rFonts w:ascii="Calibri" w:hAnsi="Calibri" w:eastAsia="微软雅黑"/>
          <w:sz w:val="22"/>
        </w:rPr>
        <w:t>核心 Python 文件修改后应完整重启 Streamlit，而不只点击网页 rerun。先在终端按 Ctrl+C 停止，再重新执行启动命令。</w:t>
      </w:r>
    </w:p>
    <w:p w14:paraId="4AB7F8CA">
      <w:pPr>
        <w:pStyle w:val="3"/>
        <w:keepNext/>
        <w:keepLines/>
      </w:pPr>
      <w:r>
        <w:t>11. 环境变量分类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750"/>
        <w:gridCol w:w="3910"/>
      </w:tblGrid>
      <w:tr w14:paraId="2F80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D5DC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类别</w:t>
            </w:r>
          </w:p>
        </w:tc>
        <w:tc>
          <w:tcPr>
            <w:tcW w:w="3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83DD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变量示例</w:t>
            </w:r>
          </w:p>
        </w:tc>
        <w:tc>
          <w:tcPr>
            <w:tcW w:w="3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F5A3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作用</w:t>
            </w:r>
          </w:p>
        </w:tc>
      </w:tr>
      <w:tr w14:paraId="51F0D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B030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LLM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AABE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API_BASE_URL、API_KEY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B07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配置 OpenAI 兼容模型中转接口；密钥仅保存在 .env</w:t>
            </w:r>
          </w:p>
        </w:tc>
      </w:tr>
      <w:tr w14:paraId="3AF6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5B44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网页搜索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7CCE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TAVILY_API_KEY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6E0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Tavily 网页检索与定向补全</w:t>
            </w:r>
          </w:p>
        </w:tc>
      </w:tr>
      <w:tr w14:paraId="626FE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BA16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学术数据库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7092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OPENALEX_API_KEY、OPENALEX_MAILTO、SEMANTIC_SCHOLAR_API_KEY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DFF7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作者、作品、指标与交叉验证</w:t>
            </w:r>
          </w:p>
        </w:tc>
      </w:tr>
      <w:tr w14:paraId="2879D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B62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研究员负载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3F74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RESEARCHER_*_CONTEXT_CHARS、RESEARCHER_TOTAL_EVIDENCE_CHARS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4E2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控制各证据源和总上下文字符预算</w:t>
            </w:r>
          </w:p>
        </w:tc>
      </w:tr>
      <w:tr w14:paraId="6369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9AF3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批量人数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1A4C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SUBDOMAIN_TARGET_EXPERTS、RESEARCHER_CHUNK_SIZE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EB9B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默认每细分领域 15 位，研究员每批 10 位</w:t>
            </w:r>
          </w:p>
        </w:tc>
      </w:tr>
      <w:tr w14:paraId="4F9F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01B9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主页访问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C897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OPENCLI_HOMEPAGE_*、OPENCLI_AUTO_RECOVER_*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F3FA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控制浏览器回退次数、超时、缓存和自动恢复</w:t>
            </w:r>
          </w:p>
        </w:tc>
      </w:tr>
      <w:tr w14:paraId="5995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921A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最终交付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CD69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DELIVERY_TRANSLATION_*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DA7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控制中文翻译模型、单轮单元格数量和总量</w:t>
            </w:r>
          </w:p>
        </w:tc>
      </w:tr>
    </w:tbl>
    <w:p w14:paraId="3CF61E29">
      <w:pPr>
        <w:spacing w:after="20"/>
      </w:pPr>
    </w:p>
    <w:p w14:paraId="63525AC3">
      <w:pPr>
        <w:pBdr>
          <w:top w:val="single" w:color="CBD5E1" w:sz="6" w:space="6"/>
          <w:bottom w:val="single" w:color="CBD5E1" w:sz="6" w:space="6"/>
        </w:pBdr>
        <w:shd w:val="clear" w:fill="FFF1F2"/>
        <w:spacing w:before="80" w:after="160" w:line="300" w:lineRule="auto"/>
        <w:ind w:left="120" w:right="120"/>
      </w:pPr>
      <w:r>
        <w:rPr>
          <w:rFonts w:ascii="Calibri" w:hAnsi="Calibri" w:eastAsia="微软雅黑"/>
          <w:b/>
          <w:color w:val="1F4D78"/>
          <w:sz w:val="22"/>
        </w:rPr>
        <w:t>安全要求</w:t>
      </w:r>
      <w:r>
        <w:rPr>
          <w:rFonts w:ascii="Calibri" w:hAnsi="Calibri" w:eastAsia="微软雅黑"/>
          <w:b/>
          <w:color w:val="1F4D78"/>
          <w:sz w:val="22"/>
        </w:rPr>
        <w:br w:type="textWrapping"/>
      </w:r>
      <w:r>
        <w:rPr>
          <w:rFonts w:ascii="Calibri" w:hAnsi="Calibri" w:eastAsia="微软雅黑"/>
          <w:sz w:val="21"/>
        </w:rPr>
        <w:t>任何 API Key 都不得写入源码、说明文档、日志或版本控制；只在本地 .env 中保存。</w:t>
      </w:r>
    </w:p>
    <w:p w14:paraId="0E6EFDC3">
      <w:pPr>
        <w:pStyle w:val="3"/>
        <w:keepNext/>
        <w:keepLines/>
      </w:pPr>
      <w:r>
        <w:t>12. 错误处理与日志</w:t>
      </w:r>
    </w:p>
    <w:p w14:paraId="661A8A62">
      <w:r>
        <w:rPr>
          <w:rFonts w:ascii="Calibri" w:hAnsi="Calibri" w:eastAsia="微软雅黑"/>
          <w:sz w:val="22"/>
        </w:rPr>
        <w:t>系统采用局部失败降级策略：单个数据库、网页、OpenCLI 或翻译请求失败时记录原因并继续使用其他来源；只有整个 LangGraph 任务无法生成有效数据时才向前端返回失败。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71BC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25FA6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日志或错误标记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D18E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含义与排查方向</w:t>
            </w:r>
          </w:p>
        </w:tc>
      </w:tr>
      <w:tr w14:paraId="4D8C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A81E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[研究员节点负载]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67E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检查各证据源和总上下文字符数，判断是否接近预算上限</w:t>
            </w:r>
          </w:p>
        </w:tc>
      </w:tr>
      <w:tr w14:paraId="2B63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31D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[专家补全汇总]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4820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查看 OpenAlex、S2、主页、OpenCLI、Tavily 的尝试次数与字段改善</w:t>
            </w:r>
          </w:p>
        </w:tc>
      </w:tr>
      <w:tr w14:paraId="7D78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4F2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[最终定向补全]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9DA2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查看最终合并后参与补全人数、改善字段与仍缺字段</w:t>
            </w:r>
          </w:p>
        </w:tc>
      </w:tr>
      <w:tr w14:paraId="5E7B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C349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[领域错配清洗]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4483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记录被剔除的明显跨领域专家数量和示例</w:t>
            </w:r>
          </w:p>
        </w:tc>
      </w:tr>
      <w:tr w14:paraId="18D3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367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[生存状态过滤]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003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记录确认已故并从结果中剔除的人数</w:t>
            </w:r>
          </w:p>
        </w:tc>
      </w:tr>
      <w:tr w14:paraId="7FC4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4C97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LLM/API 连接失败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F5C0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优先检查模型中转服务、网络、重试日志和请求负载</w:t>
            </w:r>
          </w:p>
        </w:tc>
      </w:tr>
      <w:tr w14:paraId="1AD9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CA49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429 / cooldown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D6E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外部服务限流，应等待冷却或减少非必要请求</w:t>
            </w:r>
          </w:p>
        </w:tc>
      </w:tr>
    </w:tbl>
    <w:p w14:paraId="76C6E30F">
      <w:pPr>
        <w:spacing w:after="20"/>
      </w:pPr>
    </w:p>
    <w:p w14:paraId="224E45EC">
      <w:pPr>
        <w:pStyle w:val="3"/>
        <w:keepNext/>
        <w:keepLines/>
      </w:pPr>
      <w:r>
        <w:t>13. 测试与验收建议</w:t>
      </w:r>
    </w:p>
    <w:p w14:paraId="7E60638E">
      <w:r>
        <w:rPr>
          <w:rFonts w:ascii="Calibri" w:hAnsi="Calibri" w:eastAsia="微软雅黑"/>
          <w:sz w:val="22"/>
        </w:rPr>
        <w:t>核心逻辑修改后先运行一个大领域、一个细分领域的小规模测试，再扩大到多个细分领域。建议按以下顺序验收：</w:t>
      </w:r>
    </w:p>
    <w:p w14:paraId="5A5949DD">
      <w:pPr>
        <w:pStyle w:val="16"/>
      </w:pPr>
      <w:r>
        <w:rPr>
          <w:rFonts w:ascii="Calibri" w:hAnsi="Calibri" w:eastAsia="微软雅黑"/>
          <w:sz w:val="22"/>
        </w:rPr>
        <w:t>最终 Excel 是否成功生成，文件名和目录是否正确，Expert_Results 中是否没有中间批次文件。</w:t>
      </w:r>
    </w:p>
    <w:p w14:paraId="1BD38C46">
      <w:pPr>
        <w:pStyle w:val="16"/>
      </w:pPr>
      <w:r>
        <w:rPr>
          <w:rFonts w:ascii="Calibri" w:hAnsi="Calibri" w:eastAsia="微软雅黑"/>
          <w:sz w:val="22"/>
        </w:rPr>
        <w:t>最终人数是否不超过每细分领域 15 位，多个细分领域是否形成合理覆盖。</w:t>
      </w:r>
    </w:p>
    <w:p w14:paraId="047A050F">
      <w:pPr>
        <w:pStyle w:val="16"/>
      </w:pPr>
      <w:r>
        <w:rPr>
          <w:rFonts w:ascii="Calibri" w:hAnsi="Calibri" w:eastAsia="微软雅黑"/>
          <w:sz w:val="22"/>
        </w:rPr>
        <w:t>明显不属于目标领域的专家是否被剔除，交叉领域专家是否未被误删。</w:t>
      </w:r>
    </w:p>
    <w:p w14:paraId="2F9F9E0B">
      <w:pPr>
        <w:pStyle w:val="16"/>
      </w:pPr>
      <w:r>
        <w:rPr>
          <w:rFonts w:ascii="Calibri" w:hAnsi="Calibri" w:eastAsia="微软雅黑"/>
          <w:sz w:val="22"/>
        </w:rPr>
        <w:t>是否存在近似重复姓名、明显同名错配或 OpenAlex 异常低指标覆盖高指标的问题。</w:t>
      </w:r>
    </w:p>
    <w:p w14:paraId="2E16FF06">
      <w:pPr>
        <w:pStyle w:val="16"/>
      </w:pPr>
      <w:r>
        <w:rPr>
          <w:rFonts w:ascii="Calibri" w:hAnsi="Calibri" w:eastAsia="微软雅黑"/>
          <w:sz w:val="22"/>
        </w:rPr>
        <w:t>成功访问主页、主页访问方式和失败原因是否对应实际工具调用。</w:t>
      </w:r>
    </w:p>
    <w:p w14:paraId="35207232">
      <w:pPr>
        <w:pStyle w:val="16"/>
      </w:pPr>
      <w:r>
        <w:rPr>
          <w:rFonts w:ascii="Calibri" w:hAnsi="Calibri" w:eastAsia="微软雅黑"/>
          <w:sz w:val="22"/>
        </w:rPr>
        <w:t>确认已故专家是否从主表剔除，疑似已故是否保留并标记待复核。</w:t>
      </w:r>
    </w:p>
    <w:p w14:paraId="514C5C76">
      <w:pPr>
        <w:pStyle w:val="16"/>
      </w:pPr>
      <w:r>
        <w:rPr>
          <w:rFonts w:ascii="Calibri" w:hAnsi="Calibri" w:eastAsia="微软雅黑"/>
          <w:sz w:val="22"/>
        </w:rPr>
        <w:t>邮箱是否只包含真实邮箱或“暂无公开信息”，没有电话、日期或猜测值。</w:t>
      </w:r>
    </w:p>
    <w:p w14:paraId="0EDFDCCB">
      <w:pPr>
        <w:pStyle w:val="16"/>
      </w:pPr>
      <w:r>
        <w:rPr>
          <w:rFonts w:ascii="Calibri" w:hAnsi="Calibri" w:eastAsia="微软雅黑"/>
          <w:sz w:val="22"/>
        </w:rPr>
        <w:t>工作机构、职位、成果、合作关系和入选依据是否有具体来源 URL 支持。</w:t>
      </w:r>
    </w:p>
    <w:p w14:paraId="29775DA8">
      <w:pPr>
        <w:pStyle w:val="16"/>
      </w:pPr>
      <w:r>
        <w:rPr>
          <w:rFonts w:ascii="Calibri" w:hAnsi="Calibri" w:eastAsia="微软雅黑"/>
          <w:sz w:val="22"/>
        </w:rPr>
        <w:t>最终中文是否自然一致，中文输出检查是否仅保留必要英文专名。</w:t>
      </w:r>
    </w:p>
    <w:p w14:paraId="710BAE74">
      <w:pPr>
        <w:pStyle w:val="3"/>
        <w:keepNext/>
        <w:keepLines/>
      </w:pPr>
      <w:r>
        <w:t>14. 主要文件说明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5EC1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E1C2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文件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3501">
            <w:pPr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20"/>
              </w:rPr>
              <w:t>职责</w:t>
            </w:r>
          </w:p>
        </w:tc>
      </w:tr>
      <w:tr w14:paraId="2B01C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36E9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app.py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AD89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Streamlit 前端、细分领域循环、15 人目标、补位、批次合并和下载</w:t>
            </w:r>
          </w:p>
        </w:tc>
      </w:tr>
      <w:tr w14:paraId="543A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BAA2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main.py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FD8E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构建 LangGraph，暴露 run_agent_task() 和动态细分领域推荐</w:t>
            </w:r>
          </w:p>
        </w:tc>
      </w:tr>
      <w:tr w14:paraId="5FCD4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8614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state.py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3B1D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定义 AgentState 和必需状态字段校验</w:t>
            </w:r>
          </w:p>
        </w:tc>
      </w:tr>
      <w:tr w14:paraId="386F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1BB4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agents.py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178D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文档压缩、研究员、验证、纠错节点及 Tavily/OpenAlex 上下文</w:t>
            </w:r>
          </w:p>
        </w:tc>
      </w:tr>
      <w:tr w14:paraId="3805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4F9E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utils.py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9E64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表格解析、指标增强、去重、领域过滤、生存过滤、评分和 Excel 写出</w:t>
            </w:r>
          </w:p>
        </w:tc>
      </w:tr>
      <w:tr w14:paraId="10BA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F6F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expert_enrichment.py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58F5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个人主页、邮箱、单位、职位、教育、成果和合作信息补全</w:t>
            </w:r>
          </w:p>
        </w:tc>
      </w:tr>
      <w:tr w14:paraId="7EA7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BC97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openalex_client.py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DC7E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OpenAlex 作者、作品、机构、主题与指标接口</w:t>
            </w:r>
          </w:p>
        </w:tc>
      </w:tr>
      <w:tr w14:paraId="5CF28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EBBF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semantic_scholar_client.py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7469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Semantic Scholar 作者与论文接口及限速处理</w:t>
            </w:r>
          </w:p>
        </w:tc>
      </w:tr>
      <w:tr w14:paraId="73613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BC85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survival_verification.py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2856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独立生存状态网页核验</w:t>
            </w:r>
          </w:p>
        </w:tc>
      </w:tr>
      <w:tr w14:paraId="2698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B93A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chinese_output.py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D8FB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中文规范化、批量翻译和英文残留检查</w:t>
            </w:r>
          </w:p>
        </w:tc>
      </w:tr>
      <w:tr w14:paraId="308A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F655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opencli_homepage_client.py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6B06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普通 HTTP 失败后的真实浏览器主页访问回退</w:t>
            </w:r>
          </w:p>
        </w:tc>
      </w:tr>
      <w:tr w14:paraId="083C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FD8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llm_safety.py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4122"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中转服务学术术语敏感词误杀保护</w:t>
            </w:r>
          </w:p>
        </w:tc>
      </w:tr>
    </w:tbl>
    <w:p w14:paraId="158D4FEF">
      <w:pPr>
        <w:spacing w:after="20"/>
      </w:pPr>
    </w:p>
    <w:p w14:paraId="24B9041D">
      <w:pPr>
        <w:pStyle w:val="3"/>
        <w:keepNext/>
        <w:keepLines/>
      </w:pPr>
      <w:r>
        <w:t>15. 当前边界与后续优化方向</w:t>
      </w:r>
    </w:p>
    <w:p w14:paraId="0EA5BBAE">
      <w:pPr>
        <w:pStyle w:val="16"/>
      </w:pPr>
      <w:r>
        <w:rPr>
          <w:rFonts w:ascii="Calibri" w:hAnsi="Calibri" w:eastAsia="微软雅黑"/>
          <w:sz w:val="22"/>
        </w:rPr>
        <w:t>公开网页和第三方数据库可能存在更新延迟、访问限制或同名作者错配，最终名单仍需保留人工复核环节。</w:t>
      </w:r>
    </w:p>
    <w:p w14:paraId="470C207A">
      <w:pPr>
        <w:pStyle w:val="16"/>
      </w:pPr>
      <w:r>
        <w:rPr>
          <w:rFonts w:ascii="Calibri" w:hAnsi="Calibri" w:eastAsia="微软雅黑"/>
          <w:sz w:val="22"/>
        </w:rPr>
        <w:t>邮箱、国内合作和历史工作经历并非所有专家都有公开资料，不应以填满为目标而牺牲真实性。</w:t>
      </w:r>
    </w:p>
    <w:p w14:paraId="4E50A421">
      <w:pPr>
        <w:pStyle w:val="16"/>
      </w:pPr>
      <w:r>
        <w:rPr>
          <w:rFonts w:ascii="Calibri" w:hAnsi="Calibri" w:eastAsia="微软雅黑"/>
          <w:sz w:val="22"/>
        </w:rPr>
        <w:t>Semantic Scholar 受严格限速影响，继续保持按需补充而不是默认进入研究员上下文。</w:t>
      </w:r>
    </w:p>
    <w:p w14:paraId="4D4D1C0D">
      <w:pPr>
        <w:pStyle w:val="16"/>
      </w:pPr>
      <w:r>
        <w:rPr>
          <w:rFonts w:ascii="Calibri" w:hAnsi="Calibri" w:eastAsia="微软雅黑"/>
          <w:sz w:val="22"/>
        </w:rPr>
        <w:t>可继续加强作者身份置信度、字段级来源绑定、评分完整度提示和领域配置扩展。</w:t>
      </w:r>
    </w:p>
    <w:p w14:paraId="6EB14349">
      <w:pPr>
        <w:pStyle w:val="16"/>
      </w:pPr>
      <w:r>
        <w:rPr>
          <w:rFonts w:ascii="Calibri" w:hAnsi="Calibri" w:eastAsia="微软雅黑"/>
          <w:sz w:val="22"/>
        </w:rPr>
        <w:t>建议建立固定回归样本集，对人数、重复率、错误领域率、主页成功率、已验证率和关键字段完整度持续跟踪。</w:t>
      </w:r>
    </w:p>
    <w:p w14:paraId="72BEF84B">
      <w:pPr>
        <w:pBdr>
          <w:top w:val="single" w:color="CBD5E1" w:sz="6" w:space="6"/>
          <w:bottom w:val="single" w:color="CBD5E1" w:sz="6" w:space="6"/>
        </w:pBdr>
        <w:shd w:val="clear" w:fill="EAF7F1"/>
        <w:spacing w:before="80" w:after="160" w:line="300" w:lineRule="auto"/>
        <w:ind w:left="120" w:right="120"/>
      </w:pPr>
      <w:r>
        <w:rPr>
          <w:rFonts w:ascii="Calibri" w:hAnsi="Calibri" w:eastAsia="微软雅黑"/>
          <w:b/>
          <w:color w:val="1F4D78"/>
          <w:sz w:val="22"/>
        </w:rPr>
        <w:t>项目原则</w:t>
      </w:r>
      <w:r>
        <w:rPr>
          <w:rFonts w:ascii="Calibri" w:hAnsi="Calibri" w:eastAsia="微软雅黑"/>
          <w:b/>
          <w:color w:val="1F4D78"/>
          <w:sz w:val="22"/>
        </w:rPr>
        <w:br w:type="textWrapping"/>
      </w:r>
      <w:r>
        <w:rPr>
          <w:rFonts w:ascii="Calibri" w:hAnsi="Calibri" w:eastAsia="微软雅黑"/>
          <w:sz w:val="21"/>
        </w:rPr>
        <w:t>真实性优先于完整率，证据优先于模型判断，局部失败不应破坏最终交付。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BFAF4">
    <w:pPr>
      <w:pStyle w:val="24"/>
      <w:jc w:val="right"/>
    </w:pPr>
    <w:r>
      <w:rPr>
        <w:rFonts w:ascii="Calibri" w:hAnsi="Calibri" w:eastAsia="微软雅黑"/>
        <w:color w:val="606B7A"/>
        <w:sz w:val="18"/>
      </w:rPr>
      <w:t xml:space="preserve">第 </w:t>
    </w:r>
    <w:r>
      <w:rPr>
        <w:rFonts w:ascii="Calibri" w:hAnsi="Calibri" w:eastAsia="微软雅黑"/>
        <w:color w:val="606B7A"/>
        <w:sz w:val="18"/>
      </w:rPr>
      <w:fldChar w:fldCharType="begin"/>
    </w:r>
    <w:r>
      <w:rPr>
        <w:rFonts w:ascii="Calibri" w:hAnsi="Calibri" w:eastAsia="微软雅黑"/>
        <w:color w:val="606B7A"/>
        <w:sz w:val="18"/>
      </w:rPr>
      <w:instrText xml:space="preserve"> PAGE </w:instrText>
    </w:r>
    <w:r>
      <w:rPr>
        <w:rFonts w:ascii="Calibri" w:hAnsi="Calibri" w:eastAsia="微软雅黑"/>
        <w:color w:val="606B7A"/>
        <w:sz w:val="18"/>
      </w:rPr>
      <w:fldChar w:fldCharType="end"/>
    </w:r>
    <w:r>
      <w:rPr>
        <w:rFonts w:ascii="Calibri" w:hAnsi="Calibri" w:eastAsia="微软雅黑"/>
        <w:color w:val="606B7A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1FD2C">
    <w:pPr>
      <w:pStyle w:val="25"/>
      <w:spacing w:after="0"/>
      <w:jc w:val="left"/>
    </w:pPr>
    <w:r>
      <w:rPr>
        <w:rFonts w:ascii="Calibri" w:hAnsi="Calibri" w:eastAsia="微软雅黑"/>
        <w:b/>
        <w:color w:val="606B7A"/>
        <w:sz w:val="18"/>
      </w:rPr>
      <w:t>ExpertSearch | 全球顶尖专家检索系统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CB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544</Words>
  <Characters>706</Characters>
  <Lines>0</Lines>
  <Paragraphs>0</Paragraphs>
  <TotalTime>0</TotalTime>
  <ScaleCrop>false</ScaleCrop>
  <LinksUpToDate>false</LinksUpToDate>
  <CharactersWithSpaces>738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ExpertSearch 项目组</dc:creator>
  <dc:description>根据 2026-07-14 当前代码结构生成</dc:description>
  <cp:keywords>ExpertSearch, Streamlit, LangGraph, OpenAlex, Tavily, Semantic Scholar, OpenCLI</cp:keywords>
  <cp:lastModifiedBy>一庭春雨。</cp:lastModifiedBy>
  <dcterms:modified xsi:type="dcterms:W3CDTF">2026-07-21T03:11:44Z</dcterms:modified>
  <dc:subject>项目架构、流程、数据源、质量控制、运行方式和输出规范</dc:subject>
  <dc:title>ExpertSearch 全球顶尖专家检索系统项目说明文档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eyJoZGlkIjoiOGE2OGRlMmJiY2VhNmQ3NWI3ZmNiMGM0MTA4Y2M1NTYiLCJ1c2VySWQiOiIxMTM0ODA4ODE2In0=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129E968137F54D0CB13D4324DBE3A2E5_12</vt:lpwstr>
  </property>
</Properties>
</file>