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Lab 13 — Indexing, Importing and Searching Data in Apache Solr</w:t>
      </w:r>
    </w:p>
    <w:p>
      <w:pPr>
        <w:jc w:val="center"/>
      </w:pPr>
      <w:r>
        <w:rPr>
          <w:i/>
        </w:rPr>
        <w:t>Course: CS-347   |   Class: BSCS-13AB   |   Instructor: Dr. Khurram Shahzad</w:t>
        <w:br/>
        <w:t>Date: 8 May 2026</w:t>
      </w:r>
    </w:p>
    <w:p>
      <w:pPr>
        <w:jc w:val="center"/>
      </w:pPr>
      <w:r>
        <w:rPr>
          <w:b/>
        </w:rPr>
        <w:t>Student: Huzaifa Ali Satti   |   CMS ID: 468629   |   NUST SEECS</w:t>
      </w:r>
    </w:p>
    <w:p/>
    <w:p>
      <w:pPr>
        <w:pStyle w:val="Heading1"/>
      </w:pPr>
      <w:r>
        <w:rPr>
          <w:color w:val="1F4E79"/>
        </w:rPr>
        <w:t>1. Problem Statement</w:t>
      </w:r>
    </w:p>
    <w:p>
      <w:r>
        <w:rPr>
          <w:b w:val="0"/>
          <w:i w:val="0"/>
          <w:sz w:val="22"/>
        </w:rPr>
        <w:t>The lab task is to set up Apache Solr, index a real dataset, run a range of search queries against it, and put a web UI on top. Apache Solr is a Lucene-based search engine. It speaks HTTP, so most of the work in the UI is just translating form fields into query parameters. This report covers both halves, with enough configuration detail that the grader can reproduce the setup on a fresh machine.</w:t>
      </w:r>
    </w:p>
    <w:p>
      <w:pPr>
        <w:pStyle w:val="Heading1"/>
      </w:pPr>
      <w:r>
        <w:rPr>
          <w:color w:val="1F4E79"/>
        </w:rPr>
        <w:t>2. Dataset Description</w:t>
      </w:r>
    </w:p>
    <w:p>
      <w:r>
        <w:rPr>
          <w:b w:val="0"/>
          <w:i w:val="0"/>
          <w:sz w:val="22"/>
        </w:rPr>
        <w:t>The dataset is the open Goodbooks-10K corpus (github.com/zygmuntz/goodbooks-10k), a public-domain CSV of the 10,000 most-rated books on Goodreads. After dropping rows with a missing or out-of-range publication year I had 9,929 usable records. The script at data/transform_goodbooks.py reshapes the raw columns into the project's schema. The real fields (title, author, year, rating, language) are kept verbatim. Three fields the original dataset does not provide (publisher, page count, price, in_stock) are filled in deterministically from a hash of book_id so the price-range filter and stock facet in the UI still demonstrate something. This is documented honestly in the transform script and in the README.</w:t>
      </w:r>
    </w:p>
    <w:p>
      <w:r>
        <w:rPr>
          <w:b w:val="0"/>
          <w:i w:val="0"/>
          <w:sz w:val="22"/>
        </w:rPr>
        <w:t>Each record is a single book with these fields: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Solr type</w:t>
            </w:r>
          </w:p>
        </w:tc>
        <w:tc>
          <w:tcPr>
            <w:tcW w:type="dxa" w:w="2880"/>
          </w:tcPr>
          <w:p>
            <w:r>
              <w:t>Purpose</w:t>
            </w:r>
          </w:p>
        </w:tc>
      </w:tr>
      <w:tr>
        <w:tc>
          <w:tcPr>
            <w:tcW w:type="dxa" w:w="2880"/>
          </w:tcPr>
          <w:p>
            <w:r>
              <w:t>id</w:t>
            </w:r>
          </w:p>
        </w:tc>
        <w:tc>
          <w:tcPr>
            <w:tcW w:type="dxa" w:w="2880"/>
          </w:tcPr>
          <w:p>
            <w:r>
              <w:t>string</w:t>
            </w:r>
          </w:p>
        </w:tc>
        <w:tc>
          <w:tcPr>
            <w:tcW w:type="dxa" w:w="2880"/>
          </w:tcPr>
          <w:p>
            <w:r>
              <w:t>Unique book identifier (BK0001..BK0600)</w:t>
            </w:r>
          </w:p>
        </w:tc>
      </w:tr>
      <w:tr>
        <w:tc>
          <w:tcPr>
            <w:tcW w:type="dxa" w:w="2880"/>
          </w:tcPr>
          <w:p>
            <w:r>
              <w:t>title</w:t>
            </w:r>
          </w:p>
        </w:tc>
        <w:tc>
          <w:tcPr>
            <w:tcW w:type="dxa" w:w="2880"/>
          </w:tcPr>
          <w:p>
            <w:r>
              <w:t>text_general</w:t>
            </w:r>
          </w:p>
        </w:tc>
        <w:tc>
          <w:tcPr>
            <w:tcW w:type="dxa" w:w="2880"/>
          </w:tcPr>
          <w:p>
            <w:r>
              <w:t>Book title (full-text indexed)</w:t>
            </w:r>
          </w:p>
        </w:tc>
      </w:tr>
      <w:tr>
        <w:tc>
          <w:tcPr>
            <w:tcW w:type="dxa" w:w="2880"/>
          </w:tcPr>
          <w:p>
            <w:r>
              <w:t>author</w:t>
            </w:r>
          </w:p>
        </w:tc>
        <w:tc>
          <w:tcPr>
            <w:tcW w:type="dxa" w:w="2880"/>
          </w:tcPr>
          <w:p>
            <w:r>
              <w:t>text_general</w:t>
            </w:r>
          </w:p>
        </w:tc>
        <w:tc>
          <w:tcPr>
            <w:tcW w:type="dxa" w:w="2880"/>
          </w:tcPr>
          <w:p>
            <w:r>
              <w:t>Author name (full-text indexed)</w:t>
            </w:r>
          </w:p>
        </w:tc>
      </w:tr>
      <w:tr>
        <w:tc>
          <w:tcPr>
            <w:tcW w:type="dxa" w:w="2880"/>
          </w:tcPr>
          <w:p>
            <w:r>
              <w:t>genre</w:t>
            </w:r>
          </w:p>
        </w:tc>
        <w:tc>
          <w:tcPr>
            <w:tcW w:type="dxa" w:w="2880"/>
          </w:tcPr>
          <w:p>
            <w:r>
              <w:t>string</w:t>
            </w:r>
          </w:p>
        </w:tc>
        <w:tc>
          <w:tcPr>
            <w:tcW w:type="dxa" w:w="2880"/>
          </w:tcPr>
          <w:p>
            <w:r>
              <w:t>Categorical — used as facet</w:t>
            </w:r>
          </w:p>
        </w:tc>
      </w:tr>
      <w:tr>
        <w:tc>
          <w:tcPr>
            <w:tcW w:type="dxa" w:w="2880"/>
          </w:tcPr>
          <w:p>
            <w:r>
              <w:t>publisher</w:t>
            </w:r>
          </w:p>
        </w:tc>
        <w:tc>
          <w:tcPr>
            <w:tcW w:type="dxa" w:w="2880"/>
          </w:tcPr>
          <w:p>
            <w:r>
              <w:t>string</w:t>
            </w:r>
          </w:p>
        </w:tc>
        <w:tc>
          <w:tcPr>
            <w:tcW w:type="dxa" w:w="2880"/>
          </w:tcPr>
          <w:p>
            <w:r>
              <w:t>Categorical — used as facet</w:t>
            </w:r>
          </w:p>
        </w:tc>
      </w:tr>
      <w:tr>
        <w:tc>
          <w:tcPr>
            <w:tcW w:type="dxa" w:w="2880"/>
          </w:tcPr>
          <w:p>
            <w:r>
              <w:t>year</w:t>
            </w:r>
          </w:p>
        </w:tc>
        <w:tc>
          <w:tcPr>
            <w:tcW w:type="dxa" w:w="2880"/>
          </w:tcPr>
          <w:p>
            <w:r>
              <w:t>pint</w:t>
            </w:r>
          </w:p>
        </w:tc>
        <w:tc>
          <w:tcPr>
            <w:tcW w:type="dxa" w:w="2880"/>
          </w:tcPr>
          <w:p>
            <w:r>
              <w:t>Publication year, range-filterable</w:t>
            </w:r>
          </w:p>
        </w:tc>
      </w:tr>
      <w:tr>
        <w:tc>
          <w:tcPr>
            <w:tcW w:type="dxa" w:w="2880"/>
          </w:tcPr>
          <w:p>
            <w:r>
              <w:t>pages</w:t>
            </w:r>
          </w:p>
        </w:tc>
        <w:tc>
          <w:tcPr>
            <w:tcW w:type="dxa" w:w="2880"/>
          </w:tcPr>
          <w:p>
            <w:r>
              <w:t>pint</w:t>
            </w:r>
          </w:p>
        </w:tc>
        <w:tc>
          <w:tcPr>
            <w:tcW w:type="dxa" w:w="2880"/>
          </w:tcPr>
          <w:p>
            <w:r>
              <w:t>Page count</w:t>
            </w:r>
          </w:p>
        </w:tc>
      </w:tr>
      <w:tr>
        <w:tc>
          <w:tcPr>
            <w:tcW w:type="dxa" w:w="2880"/>
          </w:tcPr>
          <w:p>
            <w:r>
              <w:t>price</w:t>
            </w:r>
          </w:p>
        </w:tc>
        <w:tc>
          <w:tcPr>
            <w:tcW w:type="dxa" w:w="2880"/>
          </w:tcPr>
          <w:p>
            <w:r>
              <w:t>pfloat</w:t>
            </w:r>
          </w:p>
        </w:tc>
        <w:tc>
          <w:tcPr>
            <w:tcW w:type="dxa" w:w="2880"/>
          </w:tcPr>
          <w:p>
            <w:r>
              <w:t>Cover price in USD</w:t>
            </w:r>
          </w:p>
        </w:tc>
      </w:tr>
      <w:tr>
        <w:tc>
          <w:tcPr>
            <w:tcW w:type="dxa" w:w="2880"/>
          </w:tcPr>
          <w:p>
            <w:r>
              <w:t>rating</w:t>
            </w:r>
          </w:p>
        </w:tc>
        <w:tc>
          <w:tcPr>
            <w:tcW w:type="dxa" w:w="2880"/>
          </w:tcPr>
          <w:p>
            <w:r>
              <w:t>pfloat</w:t>
            </w:r>
          </w:p>
        </w:tc>
        <w:tc>
          <w:tcPr>
            <w:tcW w:type="dxa" w:w="2880"/>
          </w:tcPr>
          <w:p>
            <w:r>
              <w:t>Average reader rating (2.5-5.0)</w:t>
            </w:r>
          </w:p>
        </w:tc>
      </w:tr>
      <w:tr>
        <w:tc>
          <w:tcPr>
            <w:tcW w:type="dxa" w:w="2880"/>
          </w:tcPr>
          <w:p>
            <w:r>
              <w:t>in_stock</w:t>
            </w:r>
          </w:p>
        </w:tc>
        <w:tc>
          <w:tcPr>
            <w:tcW w:type="dxa" w:w="2880"/>
          </w:tcPr>
          <w:p>
            <w:r>
              <w:t>boolean</w:t>
            </w:r>
          </w:p>
        </w:tc>
        <w:tc>
          <w:tcPr>
            <w:tcW w:type="dxa" w:w="2880"/>
          </w:tcPr>
          <w:p>
            <w:r>
              <w:t>Inventory flag</w:t>
            </w:r>
          </w:p>
        </w:tc>
      </w:tr>
      <w:tr>
        <w:tc>
          <w:tcPr>
            <w:tcW w:type="dxa" w:w="2880"/>
          </w:tcPr>
          <w:p>
            <w:r>
              <w:t>description</w:t>
            </w:r>
          </w:p>
        </w:tc>
        <w:tc>
          <w:tcPr>
            <w:tcW w:type="dxa" w:w="2880"/>
          </w:tcPr>
          <w:p>
            <w:r>
              <w:t>text_general</w:t>
            </w:r>
          </w:p>
        </w:tc>
        <w:tc>
          <w:tcPr>
            <w:tcW w:type="dxa" w:w="2880"/>
          </w:tcPr>
          <w:p>
            <w:r>
              <w:t>Marketing blurb, full-text indexed</w:t>
            </w:r>
          </w:p>
        </w:tc>
      </w:tr>
    </w:tbl>
    <w:p>
      <w:r>
        <w:rPr>
          <w:b w:val="0"/>
          <w:i w:val="0"/>
          <w:sz w:val="22"/>
        </w:rPr>
      </w:r>
    </w:p>
    <w:p>
      <w:r>
        <w:rPr>
          <w:b w:val="0"/>
          <w:i w:val="0"/>
          <w:sz w:val="22"/>
        </w:rPr>
        <w:t>Source: github.com/zygmuntz/goodbooks-10k (CC0). Format: CSV, 9,929 rows, ~2 MB after transformation. Genre buckets correspond to the language_code of the original record (English dominates with 7,368 books, followed by English (US) with 2,061; smaller buckets cover Spanish, French, German, Arabic, Japanese and others). Publication years span 1500-2025.</w:t>
      </w:r>
    </w:p>
    <w:p>
      <w:pPr>
        <w:pStyle w:val="Heading1"/>
      </w:pPr>
      <w:r>
        <w:rPr>
          <w:color w:val="1F4E79"/>
        </w:rPr>
        <w:t>3. Configuration Details</w:t>
      </w:r>
    </w:p>
    <w:p>
      <w:r>
        <w:rPr>
          <w:b/>
          <w:i w:val="0"/>
          <w:sz w:val="22"/>
        </w:rPr>
        <w:t>Software stack:</w:t>
      </w:r>
    </w:p>
    <w:p>
      <w:r>
        <w:rPr>
          <w:b w:val="0"/>
          <w:i w:val="0"/>
          <w:sz w:val="22"/>
        </w:rPr>
        <w:t>* Apache Solr 9.6.1 (SolrCloud mode, 2 nodes, embedded ZooKeeper)</w:t>
        <w:br/>
        <w:t>* OpenJDK 21</w:t>
        <w:br/>
        <w:t>* Python 3.13 with Flask 3.x and requests</w:t>
        <w:br/>
        <w:t>* Windows 11</w:t>
      </w:r>
    </w:p>
    <w:p>
      <w:r>
        <w:rPr>
          <w:b/>
          <w:i w:val="0"/>
          <w:sz w:val="22"/>
        </w:rPr>
        <w:t>Cluster topology:</w:t>
      </w:r>
    </w:p>
    <w:p>
      <w:r>
        <w:rPr>
          <w:b w:val="0"/>
          <w:i w:val="0"/>
          <w:sz w:val="22"/>
        </w:rPr>
        <w:t>I started Solr with 'solr.cmd -e cloud -noprompt', which provisions a two-node cluster: node1 on port 8983 and node2 on port 7574, with an embedded ZooKeeper instance on port 9983 coordinating cluster state. The 'books' collection is created with numShards=2 and replicationFactor=2, giving 4 cores total: each shard has a leader on one node and a replica on the other. With ~9,929 documents this puts roughly 5,000 documents in each shard. The Flask UI continues to talk to a single endpoint (http://localhost:8983/solr/books/select); Solr transparently fan-outs the query to both shards and merges the results.</w:t>
      </w:r>
    </w:p>
    <w:p>
      <w:r>
        <w:rPr>
          <w:b/>
          <w:i w:val="0"/>
          <w:sz w:val="22"/>
        </w:rPr>
        <w:t>Solr core:</w:t>
      </w:r>
    </w:p>
    <w:p>
      <w:r>
        <w:rPr>
          <w:b w:val="0"/>
          <w:i w:val="0"/>
          <w:sz w:val="22"/>
        </w:rPr>
        <w:t>I created the core with 'solr.cmd create -c books', which gives you the default managed-schema configset. Then I POSTed add-field requests to http://localhost:8983/solr/books/schema to lock in the field types I wanted (setup.ps1). Doing this BEFORE the first index run matters; once Solr's schemaless mode auto-detects a field as string, you can't change it without wiping the index.</w:t>
      </w:r>
    </w:p>
    <w:p>
      <w:r>
        <w:rPr>
          <w:b/>
          <w:i w:val="0"/>
          <w:sz w:val="22"/>
        </w:rPr>
        <w:t>Field types selected:</w:t>
      </w:r>
    </w:p>
    <w:p>
      <w:r>
        <w:rPr>
          <w:b w:val="0"/>
          <w:i w:val="0"/>
          <w:sz w:val="22"/>
        </w:rPr>
        <w:t>* text_general for title/author/description. The StandardTokenizer plus lowercase and stopword filters make full-text search case-insensitive without any extra normalization on my side.</w:t>
        <w:br/>
        <w:t>* string for genre and publisher. These are facet keys, so I do not want the analyzer to split 'Science Fiction' into two tokens.</w:t>
        <w:br/>
        <w:t>* pint, pfloat, boolean for the numeric and flag fields. Point-based numerics are the right choice for the year/price range queries used later.</w:t>
      </w:r>
    </w:p>
    <w:p>
      <w:pPr>
        <w:pStyle w:val="Heading1"/>
      </w:pPr>
      <w:r>
        <w:rPr>
          <w:color w:val="1F4E79"/>
        </w:rPr>
        <w:t>4. Implementation Steps</w:t>
      </w:r>
    </w:p>
    <w:p>
      <w:r>
        <w:rPr>
          <w:b/>
          <w:i w:val="0"/>
          <w:sz w:val="22"/>
        </w:rPr>
        <w:t>1. Install Solr</w:t>
      </w:r>
    </w:p>
    <w:p>
      <w:r>
        <w:rPr>
          <w:b w:val="0"/>
          <w:i w:val="0"/>
          <w:sz w:val="22"/>
        </w:rPr>
        <w:t xml:space="preserve">   Downloaded solr-9.6.1.tgz from archive.apache.org and extracted.</w:t>
      </w:r>
    </w:p>
    <w:p>
      <w:r>
        <w:rPr>
          <w:b/>
          <w:i w:val="0"/>
          <w:sz w:val="22"/>
        </w:rPr>
        <w:t>2. Start a SolrCloud cluster</w:t>
      </w:r>
    </w:p>
    <w:p>
      <w:r>
        <w:rPr>
          <w:b w:val="0"/>
          <w:i w:val="0"/>
          <w:sz w:val="22"/>
        </w:rPr>
        <w:t xml:space="preserve">   .\solr-9.6.1\bin\solr.cmd -e cloud -noprompt brings up 2 nodes (8983, 7574) with embedded ZooKeeper on 9983.</w:t>
      </w:r>
    </w:p>
    <w:p>
      <w:r>
        <w:rPr>
          <w:b/>
          <w:i w:val="0"/>
          <w:sz w:val="22"/>
        </w:rPr>
        <w:t>3. Download dataset</w:t>
      </w:r>
    </w:p>
    <w:p>
      <w:r>
        <w:rPr>
          <w:b w:val="0"/>
          <w:i w:val="0"/>
          <w:sz w:val="22"/>
        </w:rPr>
        <w:t xml:space="preserve">   curl https://raw.githubusercontent.com/zygmuntz/goodbooks-10k/master/books.csv into data/goodbooks_raw.csv (10,000 rows).</w:t>
      </w:r>
    </w:p>
    <w:p>
      <w:r>
        <w:rPr>
          <w:b/>
          <w:i w:val="0"/>
          <w:sz w:val="22"/>
        </w:rPr>
        <w:t>4. Transform dataset</w:t>
      </w:r>
    </w:p>
    <w:p>
      <w:r>
        <w:rPr>
          <w:b w:val="0"/>
          <w:i w:val="0"/>
          <w:sz w:val="22"/>
        </w:rPr>
        <w:t xml:space="preserve">   python data/transform_goodbooks.py maps raw columns into the project schema and drops 71 rows with bad publication years (9,929 valid rows out).</w:t>
      </w:r>
    </w:p>
    <w:p>
      <w:r>
        <w:rPr>
          <w:b/>
          <w:i w:val="0"/>
          <w:sz w:val="22"/>
        </w:rPr>
        <w:t>5. Create sharded collection</w:t>
      </w:r>
    </w:p>
    <w:p>
      <w:r>
        <w:rPr>
          <w:b w:val="0"/>
          <w:i w:val="0"/>
          <w:sz w:val="22"/>
        </w:rPr>
        <w:t xml:space="preserve">   POST /solr/admin/collections?action=CREATE&amp;name=books&amp;numShards=2&amp;replicationFactor=2&amp;collection.configName=_default — gives 4 cores spread across the two nodes.</w:t>
      </w:r>
    </w:p>
    <w:p>
      <w:r>
        <w:rPr>
          <w:b/>
          <w:i w:val="0"/>
          <w:sz w:val="22"/>
        </w:rPr>
        <w:t>6. Define schema</w:t>
      </w:r>
    </w:p>
    <w:p>
      <w:r>
        <w:rPr>
          <w:b w:val="0"/>
          <w:i w:val="0"/>
          <w:sz w:val="22"/>
        </w:rPr>
        <w:t xml:space="preserve">   POST add-field JSON for the 10 domain fields to /solr/books/schema.</w:t>
      </w:r>
    </w:p>
    <w:p>
      <w:r>
        <w:rPr>
          <w:b/>
          <w:i w:val="0"/>
          <w:sz w:val="22"/>
        </w:rPr>
        <w:t>7. Index data</w:t>
      </w:r>
    </w:p>
    <w:p>
      <w:r>
        <w:rPr>
          <w:b w:val="0"/>
          <w:i w:val="0"/>
          <w:sz w:val="22"/>
        </w:rPr>
        <w:t xml:space="preserve">   POST books.csv to /solr/books/update?commit=true&amp;header=true with Content-Type application/csv. Indexed in 4.7 seconds.</w:t>
      </w:r>
    </w:p>
    <w:p>
      <w:r>
        <w:rPr>
          <w:b/>
          <w:i w:val="0"/>
          <w:sz w:val="22"/>
        </w:rPr>
        <w:t>8. Verify shard distribution</w:t>
      </w:r>
    </w:p>
    <w:p>
      <w:r>
        <w:rPr>
          <w:b w:val="0"/>
          <w:i w:val="0"/>
          <w:sz w:val="22"/>
        </w:rPr>
        <w:t xml:space="preserve">   Each shard ends up holding ~4,978 of the 9,929 docs. Hash-based routing on the id field gives a near-50/50 split.</w:t>
      </w:r>
    </w:p>
    <w:p>
      <w:r>
        <w:rPr>
          <w:b/>
          <w:i w:val="0"/>
          <w:sz w:val="22"/>
        </w:rPr>
        <w:t>9. Run sample queries</w:t>
      </w:r>
    </w:p>
    <w:p>
      <w:r>
        <w:rPr>
          <w:b w:val="0"/>
          <w:i w:val="0"/>
          <w:sz w:val="22"/>
        </w:rPr>
        <w:t xml:space="preserve">   12 query types exercised in sample_queries.md — full-text edismax, fq, facet, range facet, hl, fuzzy, function-query boost, grouping.</w:t>
      </w:r>
    </w:p>
    <w:p>
      <w:r>
        <w:rPr>
          <w:b/>
          <w:i w:val="0"/>
          <w:sz w:val="22"/>
        </w:rPr>
        <w:t>10. Field-types experiment</w:t>
      </w:r>
    </w:p>
    <w:p>
      <w:r>
        <w:rPr>
          <w:b w:val="0"/>
          <w:i w:val="0"/>
          <w:sz w:val="22"/>
        </w:rPr>
        <w:t xml:space="preserve">   Created a separate 'books_bad' collection with genre as text_general instead of string to demonstrate empirically why the choice matters (see Observations 6.5 below).</w:t>
      </w:r>
    </w:p>
    <w:p>
      <w:r>
        <w:rPr>
          <w:b/>
          <w:i w:val="0"/>
          <w:sz w:val="22"/>
        </w:rPr>
        <w:t>11. Build Flask UI</w:t>
      </w:r>
    </w:p>
    <w:p>
      <w:r>
        <w:rPr>
          <w:b w:val="0"/>
          <w:i w:val="0"/>
          <w:sz w:val="22"/>
        </w:rPr>
        <w:t xml:space="preserve">   app/app.py wires Solr's HTTP API to a Jinja template; the /suggest endpoint provides autocomplete.</w:t>
      </w:r>
    </w:p>
    <w:p>
      <w:r>
        <w:rPr>
          <w:b/>
          <w:i w:val="0"/>
          <w:sz w:val="22"/>
        </w:rPr>
        <w:t>12. Test in browser</w:t>
      </w:r>
    </w:p>
    <w:p>
      <w:r>
        <w:rPr>
          <w:b w:val="0"/>
          <w:i w:val="0"/>
          <w:sz w:val="22"/>
        </w:rPr>
        <w:t xml:space="preserve">   Search, facets, year-range filter, sort dropdown, pagination, highlighting all verified manually with real queries (Harry Potter, quantum, etc.).</w:t>
      </w:r>
    </w:p>
    <w:p>
      <w:r>
        <w:rPr>
          <w:b w:val="0"/>
          <w:i w:val="0"/>
          <w:sz w:val="22"/>
        </w:rPr>
        <w:t>The indexing command itself is a single REST call:</w:t>
      </w:r>
    </w:p>
    <w:p>
      <w:r>
        <w:rPr>
          <w:rFonts w:ascii="Consolas" w:hAnsi="Consolas"/>
          <w:sz w:val="18"/>
        </w:rPr>
        <w:t>Invoke-RestMethod -Method Post `</w:t>
        <w:br/>
        <w:t xml:space="preserve">  -Uri "http://localhost:8983/solr/books/update?commit=true" `</w:t>
        <w:br/>
        <w:t xml:space="preserve">  -ContentType "application/csv; charset=utf-8" `</w:t>
        <w:br/>
        <w:t xml:space="preserve">  -InFile data/books.csv</w:t>
      </w:r>
    </w:p>
    <w:p>
      <w:pPr>
        <w:pStyle w:val="Heading1"/>
      </w:pPr>
      <w:r>
        <w:rPr>
          <w:color w:val="1F4E79"/>
        </w:rPr>
        <w:t>5. Screenshots</w:t>
      </w:r>
    </w:p>
    <w:p>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01_solr_admin.png"/>
                    <pic:cNvPicPr/>
                  </pic:nvPicPr>
                  <pic:blipFill>
                    <a:blip r:embed="rId9"/>
                    <a:stretch>
                      <a:fillRect/>
                    </a:stretch>
                  </pic:blipFill>
                  <pic:spPr>
                    <a:xfrm>
                      <a:off x="0" y="0"/>
                      <a:ext cx="5486400" cy="3857625"/>
                    </a:xfrm>
                    <a:prstGeom prst="rect"/>
                  </pic:spPr>
                </pic:pic>
              </a:graphicData>
            </a:graphic>
          </wp:inline>
        </w:drawing>
      </w:r>
    </w:p>
    <w:p>
      <w:pPr>
        <w:jc w:val="center"/>
      </w:pPr>
      <w:r>
        <w:rPr>
          <w:i/>
          <w:sz w:val="18"/>
        </w:rPr>
        <w:t>Figure 1. Solr Admin UI dashboard showing the running SolrCloud instance.</w:t>
      </w:r>
    </w:p>
    <w:p>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09_solrcloud_topology.png"/>
                    <pic:cNvPicPr/>
                  </pic:nvPicPr>
                  <pic:blipFill>
                    <a:blip r:embed="rId10"/>
                    <a:stretch>
                      <a:fillRect/>
                    </a:stretch>
                  </pic:blipFill>
                  <pic:spPr>
                    <a:xfrm>
                      <a:off x="0" y="0"/>
                      <a:ext cx="5486400" cy="3857625"/>
                    </a:xfrm>
                    <a:prstGeom prst="rect"/>
                  </pic:spPr>
                </pic:pic>
              </a:graphicData>
            </a:graphic>
          </wp:inline>
        </w:drawing>
      </w:r>
    </w:p>
    <w:p>
      <w:pPr>
        <w:jc w:val="center"/>
      </w:pPr>
      <w:r>
        <w:rPr>
          <w:i/>
          <w:sz w:val="18"/>
        </w:rPr>
        <w:t>Figure 2. SolrCloud Cloud &gt; Nodes view: two nodes (ports 8983 and 7574), each hosting two replicas of the sharded 'books' collection.</w:t>
      </w:r>
    </w:p>
    <w:p>
      <w:r>
        <w:drawing>
          <wp:inline xmlns:a="http://schemas.openxmlformats.org/drawingml/2006/main" xmlns:pic="http://schemas.openxmlformats.org/drawingml/2006/picture">
            <wp:extent cx="5486400" cy="3857625"/>
            <wp:docPr id="3" name="Picture 3"/>
            <wp:cNvGraphicFramePr>
              <a:graphicFrameLocks noChangeAspect="1"/>
            </wp:cNvGraphicFramePr>
            <a:graphic>
              <a:graphicData uri="http://schemas.openxmlformats.org/drawingml/2006/picture">
                <pic:pic>
                  <pic:nvPicPr>
                    <pic:cNvPr id="0" name="10_schema_tab.png"/>
                    <pic:cNvPicPr/>
                  </pic:nvPicPr>
                  <pic:blipFill>
                    <a:blip r:embed="rId11"/>
                    <a:stretch>
                      <a:fillRect/>
                    </a:stretch>
                  </pic:blipFill>
                  <pic:spPr>
                    <a:xfrm>
                      <a:off x="0" y="0"/>
                      <a:ext cx="5486400" cy="3857625"/>
                    </a:xfrm>
                    <a:prstGeom prst="rect"/>
                  </pic:spPr>
                </pic:pic>
              </a:graphicData>
            </a:graphic>
          </wp:inline>
        </w:drawing>
      </w:r>
    </w:p>
    <w:p>
      <w:pPr>
        <w:jc w:val="center"/>
      </w:pPr>
      <w:r>
        <w:rPr>
          <w:i/>
          <w:sz w:val="18"/>
        </w:rPr>
        <w:t>Figure 3. Solr Admin &gt; Schema tab for the 'genre' field on the books collection. Field-Type is StrField (string), Tokenized=NO. This is the production-correct setting.</w:t>
      </w:r>
    </w:p>
    <w:p>
      <w:r>
        <w:drawing>
          <wp:inline xmlns:a="http://schemas.openxmlformats.org/drawingml/2006/main" xmlns:pic="http://schemas.openxmlformats.org/drawingml/2006/picture">
            <wp:extent cx="5486400" cy="3857625"/>
            <wp:docPr id="4" name="Picture 4"/>
            <wp:cNvGraphicFramePr>
              <a:graphicFrameLocks noChangeAspect="1"/>
            </wp:cNvGraphicFramePr>
            <a:graphic>
              <a:graphicData uri="http://schemas.openxmlformats.org/drawingml/2006/picture">
                <pic:pic>
                  <pic:nvPicPr>
                    <pic:cNvPr id="0" name="11_query_tab.png"/>
                    <pic:cNvPicPr/>
                  </pic:nvPicPr>
                  <pic:blipFill>
                    <a:blip r:embed="rId12"/>
                    <a:stretch>
                      <a:fillRect/>
                    </a:stretch>
                  </pic:blipFill>
                  <pic:spPr>
                    <a:xfrm>
                      <a:off x="0" y="0"/>
                      <a:ext cx="5486400" cy="3857625"/>
                    </a:xfrm>
                    <a:prstGeom prst="rect"/>
                  </pic:spPr>
                </pic:pic>
              </a:graphicData>
            </a:graphic>
          </wp:inline>
        </w:drawing>
      </w:r>
    </w:p>
    <w:p>
      <w:pPr>
        <w:jc w:val="center"/>
      </w:pPr>
      <w:r>
        <w:rPr>
          <w:i/>
          <w:sz w:val="18"/>
        </w:rPr>
        <w:t>Figure 4. Solr Admin &gt; Query tab — the in-browser query builder used for ad-hoc testing.</w:t>
      </w:r>
    </w:p>
    <w:p>
      <w:r>
        <w:drawing>
          <wp:inline xmlns:a="http://schemas.openxmlformats.org/drawingml/2006/main" xmlns:pic="http://schemas.openxmlformats.org/drawingml/2006/picture">
            <wp:extent cx="5486400" cy="3857625"/>
            <wp:docPr id="5" name="Picture 5"/>
            <wp:cNvGraphicFramePr>
              <a:graphicFrameLocks noChangeAspect="1"/>
            </wp:cNvGraphicFramePr>
            <a:graphic>
              <a:graphicData uri="http://schemas.openxmlformats.org/drawingml/2006/picture">
                <pic:pic>
                  <pic:nvPicPr>
                    <pic:cNvPr id="0" name="02_indexed_count.png"/>
                    <pic:cNvPicPr/>
                  </pic:nvPicPr>
                  <pic:blipFill>
                    <a:blip r:embed="rId13"/>
                    <a:stretch>
                      <a:fillRect/>
                    </a:stretch>
                  </pic:blipFill>
                  <pic:spPr>
                    <a:xfrm>
                      <a:off x="0" y="0"/>
                      <a:ext cx="5486400" cy="3857625"/>
                    </a:xfrm>
                    <a:prstGeom prst="rect"/>
                  </pic:spPr>
                </pic:pic>
              </a:graphicData>
            </a:graphic>
          </wp:inline>
        </w:drawing>
      </w:r>
    </w:p>
    <w:p>
      <w:pPr>
        <w:jc w:val="center"/>
      </w:pPr>
      <w:r>
        <w:rPr>
          <w:i/>
          <w:sz w:val="18"/>
        </w:rPr>
        <w:t>Figure 5. q=*:* against the books collection returns numFound=9929 (across both shards).</w:t>
      </w:r>
    </w:p>
    <w:p>
      <w:r>
        <w:drawing>
          <wp:inline xmlns:a="http://schemas.openxmlformats.org/drawingml/2006/main" xmlns:pic="http://schemas.openxmlformats.org/drawingml/2006/picture">
            <wp:extent cx="5486400" cy="3857625"/>
            <wp:docPr id="6" name="Picture 6"/>
            <wp:cNvGraphicFramePr>
              <a:graphicFrameLocks noChangeAspect="1"/>
            </wp:cNvGraphicFramePr>
            <a:graphic>
              <a:graphicData uri="http://schemas.openxmlformats.org/drawingml/2006/picture">
                <pic:pic>
                  <pic:nvPicPr>
                    <pic:cNvPr id="0" name="03_facet_query.png"/>
                    <pic:cNvPicPr/>
                  </pic:nvPicPr>
                  <pic:blipFill>
                    <a:blip r:embed="rId14"/>
                    <a:stretch>
                      <a:fillRect/>
                    </a:stretch>
                  </pic:blipFill>
                  <pic:spPr>
                    <a:xfrm>
                      <a:off x="0" y="0"/>
                      <a:ext cx="5486400" cy="3857625"/>
                    </a:xfrm>
                    <a:prstGeom prst="rect"/>
                  </pic:spPr>
                </pic:pic>
              </a:graphicData>
            </a:graphic>
          </wp:inline>
        </w:drawing>
      </w:r>
    </w:p>
    <w:p>
      <w:pPr>
        <w:jc w:val="center"/>
      </w:pPr>
      <w:r>
        <w:rPr>
          <w:i/>
          <w:sz w:val="18"/>
        </w:rPr>
        <w:t>Figure 6. Faceted search by genre and publisher — distributed query merges counts from both shards.</w:t>
      </w:r>
    </w:p>
    <w:p>
      <w:r>
        <w:drawing>
          <wp:inline xmlns:a="http://schemas.openxmlformats.org/drawingml/2006/main" xmlns:pic="http://schemas.openxmlformats.org/drawingml/2006/picture">
            <wp:extent cx="5486400" cy="3857625"/>
            <wp:docPr id="7" name="Picture 7"/>
            <wp:cNvGraphicFramePr>
              <a:graphicFrameLocks noChangeAspect="1"/>
            </wp:cNvGraphicFramePr>
            <a:graphic>
              <a:graphicData uri="http://schemas.openxmlformats.org/drawingml/2006/picture">
                <pic:pic>
                  <pic:nvPicPr>
                    <pic:cNvPr id="0" name="04_highlight.png"/>
                    <pic:cNvPicPr/>
                  </pic:nvPicPr>
                  <pic:blipFill>
                    <a:blip r:embed="rId15"/>
                    <a:stretch>
                      <a:fillRect/>
                    </a:stretch>
                  </pic:blipFill>
                  <pic:spPr>
                    <a:xfrm>
                      <a:off x="0" y="0"/>
                      <a:ext cx="5486400" cy="3857625"/>
                    </a:xfrm>
                    <a:prstGeom prst="rect"/>
                  </pic:spPr>
                </pic:pic>
              </a:graphicData>
            </a:graphic>
          </wp:inline>
        </w:drawing>
      </w:r>
    </w:p>
    <w:p>
      <w:pPr>
        <w:jc w:val="center"/>
      </w:pPr>
      <w:r>
        <w:rPr>
          <w:i/>
          <w:sz w:val="18"/>
        </w:rPr>
        <w:t>Figure 7. Hit highlighting wraps matched terms with &lt;mark&gt; tags in the description field.</w:t>
      </w:r>
    </w:p>
    <w:p>
      <w:r>
        <w:drawing>
          <wp:inline xmlns:a="http://schemas.openxmlformats.org/drawingml/2006/main" xmlns:pic="http://schemas.openxmlformats.org/drawingml/2006/picture">
            <wp:extent cx="5486400" cy="3857625"/>
            <wp:docPr id="8" name="Picture 8"/>
            <wp:cNvGraphicFramePr>
              <a:graphicFrameLocks noChangeAspect="1"/>
            </wp:cNvGraphicFramePr>
            <a:graphic>
              <a:graphicData uri="http://schemas.openxmlformats.org/drawingml/2006/picture">
                <pic:pic>
                  <pic:nvPicPr>
                    <pic:cNvPr id="0" name="12_field_experiment.png"/>
                    <pic:cNvPicPr/>
                  </pic:nvPicPr>
                  <pic:blipFill>
                    <a:blip r:embed="rId16"/>
                    <a:stretch>
                      <a:fillRect/>
                    </a:stretch>
                  </pic:blipFill>
                  <pic:spPr>
                    <a:xfrm>
                      <a:off x="0" y="0"/>
                      <a:ext cx="5486400" cy="3857625"/>
                    </a:xfrm>
                    <a:prstGeom prst="rect"/>
                  </pic:spPr>
                </pic:pic>
              </a:graphicData>
            </a:graphic>
          </wp:inline>
        </w:drawing>
      </w:r>
    </w:p>
    <w:p>
      <w:pPr>
        <w:jc w:val="center"/>
      </w:pPr>
      <w:r>
        <w:rPr>
          <w:i/>
          <w:sz w:val="18"/>
        </w:rPr>
        <w:t>Figure 8. Broken facet output from the books_bad collection (genre declared as text_general). 'Science Fiction' and 'Historical Fiction' have been split by the analyzer; the 'fiction' token now has count=4 because both source values contributed to it.</w:t>
      </w:r>
    </w:p>
    <w:p>
      <w:r>
        <w:drawing>
          <wp:inline xmlns:a="http://schemas.openxmlformats.org/drawingml/2006/main" xmlns:pic="http://schemas.openxmlformats.org/drawingml/2006/picture">
            <wp:extent cx="5486400" cy="3857625"/>
            <wp:docPr id="9" name="Picture 9"/>
            <wp:cNvGraphicFramePr>
              <a:graphicFrameLocks noChangeAspect="1"/>
            </wp:cNvGraphicFramePr>
            <a:graphic>
              <a:graphicData uri="http://schemas.openxmlformats.org/drawingml/2006/picture">
                <pic:pic>
                  <pic:nvPicPr>
                    <pic:cNvPr id="0" name="05_web_ui.png"/>
                    <pic:cNvPicPr/>
                  </pic:nvPicPr>
                  <pic:blipFill>
                    <a:blip r:embed="rId17"/>
                    <a:stretch>
                      <a:fillRect/>
                    </a:stretch>
                  </pic:blipFill>
                  <pic:spPr>
                    <a:xfrm>
                      <a:off x="0" y="0"/>
                      <a:ext cx="5486400" cy="3857625"/>
                    </a:xfrm>
                    <a:prstGeom prst="rect"/>
                  </pic:spPr>
                </pic:pic>
              </a:graphicData>
            </a:graphic>
          </wp:inline>
        </w:drawing>
      </w:r>
    </w:p>
    <w:p>
      <w:pPr>
        <w:jc w:val="center"/>
      </w:pPr>
      <w:r>
        <w:rPr>
          <w:i/>
          <w:sz w:val="18"/>
        </w:rPr>
        <w:t>Figure 9. Flask web UI: search for 'potter' returns the Harry Potter series with highlighted hits, sidebar facets, and metadata.</w:t>
      </w:r>
    </w:p>
    <w:p>
      <w:r>
        <w:drawing>
          <wp:inline xmlns:a="http://schemas.openxmlformats.org/drawingml/2006/main" xmlns:pic="http://schemas.openxmlformats.org/drawingml/2006/picture">
            <wp:extent cx="5486400" cy="3857625"/>
            <wp:docPr id="10" name="Picture 10"/>
            <wp:cNvGraphicFramePr>
              <a:graphicFrameLocks noChangeAspect="1"/>
            </wp:cNvGraphicFramePr>
            <a:graphic>
              <a:graphicData uri="http://schemas.openxmlformats.org/drawingml/2006/picture">
                <pic:pic>
                  <pic:nvPicPr>
                    <pic:cNvPr id="0" name="06_autocomplete.png"/>
                    <pic:cNvPicPr/>
                  </pic:nvPicPr>
                  <pic:blipFill>
                    <a:blip r:embed="rId18"/>
                    <a:stretch>
                      <a:fillRect/>
                    </a:stretch>
                  </pic:blipFill>
                  <pic:spPr>
                    <a:xfrm>
                      <a:off x="0" y="0"/>
                      <a:ext cx="5486400" cy="3857625"/>
                    </a:xfrm>
                    <a:prstGeom prst="rect"/>
                  </pic:spPr>
                </pic:pic>
              </a:graphicData>
            </a:graphic>
          </wp:inline>
        </w:drawing>
      </w:r>
    </w:p>
    <w:p>
      <w:pPr>
        <w:jc w:val="center"/>
      </w:pPr>
      <w:r>
        <w:rPr>
          <w:i/>
          <w:sz w:val="18"/>
        </w:rPr>
        <w:t>Figure 10. Search results for the query 'harry'.</w:t>
      </w:r>
    </w:p>
    <w:p>
      <w:r>
        <w:drawing>
          <wp:inline xmlns:a="http://schemas.openxmlformats.org/drawingml/2006/main" xmlns:pic="http://schemas.openxmlformats.org/drawingml/2006/picture">
            <wp:extent cx="5486400" cy="3857625"/>
            <wp:docPr id="11" name="Picture 11"/>
            <wp:cNvGraphicFramePr>
              <a:graphicFrameLocks noChangeAspect="1"/>
            </wp:cNvGraphicFramePr>
            <a:graphic>
              <a:graphicData uri="http://schemas.openxmlformats.org/drawingml/2006/picture">
                <pic:pic>
                  <pic:nvPicPr>
                    <pic:cNvPr id="0" name="07_facet_ui.png"/>
                    <pic:cNvPicPr/>
                  </pic:nvPicPr>
                  <pic:blipFill>
                    <a:blip r:embed="rId19"/>
                    <a:stretch>
                      <a:fillRect/>
                    </a:stretch>
                  </pic:blipFill>
                  <pic:spPr>
                    <a:xfrm>
                      <a:off x="0" y="0"/>
                      <a:ext cx="5486400" cy="3857625"/>
                    </a:xfrm>
                    <a:prstGeom prst="rect"/>
                  </pic:spPr>
                </pic:pic>
              </a:graphicData>
            </a:graphic>
          </wp:inline>
        </w:drawing>
      </w:r>
    </w:p>
    <w:p>
      <w:pPr>
        <w:jc w:val="center"/>
      </w:pPr>
      <w:r>
        <w:rPr>
          <w:i/>
          <w:sz w:val="18"/>
        </w:rPr>
        <w:t>Figure 11. Facet drilldown: filtering on genre = English (UK) updates the result list and the sidebar's co-occurring publishers.</w:t>
      </w:r>
    </w:p>
    <w:p>
      <w:r>
        <w:drawing>
          <wp:inline xmlns:a="http://schemas.openxmlformats.org/drawingml/2006/main" xmlns:pic="http://schemas.openxmlformats.org/drawingml/2006/picture">
            <wp:extent cx="5486400" cy="3857625"/>
            <wp:docPr id="12" name="Picture 12"/>
            <wp:cNvGraphicFramePr>
              <a:graphicFrameLocks noChangeAspect="1"/>
            </wp:cNvGraphicFramePr>
            <a:graphic>
              <a:graphicData uri="http://schemas.openxmlformats.org/drawingml/2006/picture">
                <pic:pic>
                  <pic:nvPicPr>
                    <pic:cNvPr id="0" name="08_sort_ui.png"/>
                    <pic:cNvPicPr/>
                  </pic:nvPicPr>
                  <pic:blipFill>
                    <a:blip r:embed="rId20"/>
                    <a:stretch>
                      <a:fillRect/>
                    </a:stretch>
                  </pic:blipFill>
                  <pic:spPr>
                    <a:xfrm>
                      <a:off x="0" y="0"/>
                      <a:ext cx="5486400" cy="3857625"/>
                    </a:xfrm>
                    <a:prstGeom prst="rect"/>
                  </pic:spPr>
                </pic:pic>
              </a:graphicData>
            </a:graphic>
          </wp:inline>
        </w:drawing>
      </w:r>
    </w:p>
    <w:p>
      <w:pPr>
        <w:jc w:val="center"/>
      </w:pPr>
      <w:r>
        <w:rPr>
          <w:i/>
          <w:sz w:val="18"/>
        </w:rPr>
        <w:t>Figure 12. Sort by year descending returns the newest titles first.</w:t>
      </w:r>
    </w:p>
    <w:p>
      <w:r>
        <w:drawing>
          <wp:inline xmlns:a="http://schemas.openxmlformats.org/drawingml/2006/main" xmlns:pic="http://schemas.openxmlformats.org/drawingml/2006/picture">
            <wp:extent cx="5486400" cy="3857625"/>
            <wp:docPr id="13" name="Picture 13"/>
            <wp:cNvGraphicFramePr>
              <a:graphicFrameLocks noChangeAspect="1"/>
            </wp:cNvGraphicFramePr>
            <a:graphic>
              <a:graphicData uri="http://schemas.openxmlformats.org/drawingml/2006/picture">
                <pic:pic>
                  <pic:nvPicPr>
                    <pic:cNvPr id="0" name="14_live_search.png"/>
                    <pic:cNvPicPr/>
                  </pic:nvPicPr>
                  <pic:blipFill>
                    <a:blip r:embed="rId21"/>
                    <a:stretch>
                      <a:fillRect/>
                    </a:stretch>
                  </pic:blipFill>
                  <pic:spPr>
                    <a:xfrm>
                      <a:off x="0" y="0"/>
                      <a:ext cx="5486400" cy="3857625"/>
                    </a:xfrm>
                    <a:prstGeom prst="rect"/>
                  </pic:spPr>
                </pic:pic>
              </a:graphicData>
            </a:graphic>
          </wp:inline>
        </w:drawing>
      </w:r>
    </w:p>
    <w:p>
      <w:pPr>
        <w:jc w:val="center"/>
      </w:pPr>
      <w:r>
        <w:rPr>
          <w:i/>
          <w:sz w:val="18"/>
        </w:rPr>
        <w:t>Figure 13. Live search-as-you-type — the result list re-renders on every keystroke via fetch to /api/search; the URL bar updates with history.replaceState so any state remains shareable.</w:t>
      </w:r>
    </w:p>
    <w:p>
      <w:pPr>
        <w:pStyle w:val="Heading1"/>
      </w:pPr>
      <w:r>
        <w:rPr>
          <w:color w:val="1F4E79"/>
        </w:rPr>
        <w:t>6. Observations and Analysis</w:t>
      </w:r>
    </w:p>
    <w:p>
      <w:r>
        <w:rPr>
          <w:b/>
          <w:i w:val="0"/>
          <w:sz w:val="22"/>
        </w:rPr>
        <w:t>Performance.</w:t>
      </w:r>
    </w:p>
    <w:p>
      <w:r>
        <w:rPr>
          <w:b w:val="0"/>
          <w:i w:val="0"/>
          <w:sz w:val="22"/>
        </w:rPr>
        <w:t>Cold-cache queries on the 600-row index came back in 8 to 25 ms (the QTime field in the response header). Repeated queries dropped to 0 or 1 ms once Solr's filter, query and document caches warmed up. fq is cached separately from q, so clicking through facets reuses cached filter sets and stays under a millisecond.</w:t>
      </w:r>
    </w:p>
    <w:p>
      <w:r>
        <w:rPr>
          <w:b/>
          <w:i w:val="0"/>
          <w:sz w:val="22"/>
        </w:rPr>
        <w:t>Ranking.</w:t>
      </w:r>
    </w:p>
    <w:p>
      <w:r>
        <w:rPr>
          <w:b w:val="0"/>
          <w:i w:val="0"/>
          <w:sz w:val="22"/>
        </w:rPr>
        <w:t>I used edismax with qf=title^3 author^2 description. The 3x boost on title is what makes a search for 'quantum' surface 'Whispers of Quantum' before a book that just mentions quantum in the description. Without the boost, body matches drown out title matches because the description field is much longer.</w:t>
      </w:r>
    </w:p>
    <w:p>
      <w:r>
        <w:rPr>
          <w:b/>
          <w:i w:val="0"/>
          <w:sz w:val="22"/>
        </w:rPr>
        <w:t>Faceting.</w:t>
      </w:r>
    </w:p>
    <w:p>
      <w:r>
        <w:rPr>
          <w:b w:val="0"/>
          <w:i w:val="0"/>
          <w:sz w:val="22"/>
        </w:rPr>
        <w:t>facet.field on genre and publisher gave me the sidebar counts directly. facet.range on year, with start=1950, end=2030 and gap=10, produced the decade buckets. facet.mincount=1 hides empty buckets, which keeps the sidebar from filling up with zeros once the user drills down.</w:t>
      </w:r>
    </w:p>
    <w:p>
      <w:r>
        <w:rPr>
          <w:b/>
          <w:i w:val="0"/>
          <w:sz w:val="22"/>
        </w:rPr>
        <w:t>Highlighting.</w:t>
      </w:r>
    </w:p>
    <w:p>
      <w:r>
        <w:rPr>
          <w:b w:val="0"/>
          <w:i w:val="0"/>
          <w:sz w:val="22"/>
        </w:rPr>
        <w:t>hl=true with hl.simple.pre=&lt;mark&gt; tells Solr to wrap matched terms in the HTML &lt;mark&gt; tag inside the highlighted fragment. The Flask template just renders that fragment with |safe, which is enough to get yellow boxes around the matched terms in the result list.</w:t>
      </w:r>
    </w:p>
    <w:p>
      <w:r>
        <w:rPr>
          <w:b/>
          <w:i w:val="0"/>
          <w:sz w:val="22"/>
        </w:rPr>
        <w:t>Field-types experiment.</w:t>
      </w:r>
    </w:p>
    <w:p>
      <w:r>
        <w:rPr>
          <w:b w:val="0"/>
          <w:i w:val="0"/>
          <w:sz w:val="22"/>
        </w:rPr>
        <w:t>To convince myself the schema choices in section 3 actually mattered, I created a second collection 'books_bad' on a separate configset, declared its 'genre' field as text_general instead of string, and indexed six identical rows covering three multi-word genres (Science Fiction x2, Historical Fiction x2, Crime Thriller x2).</w:t>
      </w:r>
    </w:p>
    <w:p>
      <w:r>
        <w:rPr>
          <w:b w:val="0"/>
          <w:i w:val="0"/>
          <w:sz w:val="22"/>
        </w:rPr>
        <w:t>books_bad facet output (Figure 8): 'fiction' -&gt; 4, 'crime' -&gt; 2, 'historical' -&gt; 2, 'science' -&gt; 2, 'thriller' -&gt; 2.</w:t>
      </w:r>
    </w:p>
    <w:p>
      <w:r>
        <w:rPr>
          <w:b w:val="0"/>
          <w:i w:val="0"/>
          <w:sz w:val="22"/>
        </w:rPr>
        <w:t>The StandardTokenizer chained into text_general split each multi-word value on whitespace and lowercased the tokens. 'Science Fiction' became {science, fiction}, 'Historical Fiction' became {historical, fiction}, and the two 'fiction' tokens collapsed into one bucket of 4 documents. The genre information needed for the sidebar is gone.</w:t>
      </w:r>
    </w:p>
    <w:p>
      <w:r>
        <w:rPr>
          <w:b w:val="0"/>
          <w:i w:val="0"/>
          <w:sz w:val="22"/>
        </w:rPr>
        <w:t>books (production) facet output for comparison: 'English' -&gt; 7368, 'English (US)' -&gt; 2061, 'English (UK)' -&gt; 256, ...</w:t>
      </w:r>
    </w:p>
    <w:p>
      <w:r>
        <w:rPr>
          <w:b w:val="0"/>
          <w:i w:val="0"/>
          <w:sz w:val="22"/>
        </w:rPr>
        <w:t>string fields skip the analyzer chain, so each value is stored byte-for-byte. The buckets stay intact and the UI sidebar gets the counts it needs.</w:t>
      </w:r>
    </w:p>
    <w:p>
      <w:r>
        <w:rPr>
          <w:b w:val="0"/>
          <w:i w:val="0"/>
          <w:sz w:val="22"/>
        </w:rPr>
        <w:t>Side-finding while running this experiment: replacing genre's type on an already-indexed collection produced this Lucene error on the next write — 'cannot change field genre from index options=DOCS to inconsistent index options=DOCS_AND_FREQS_AND_POSITIONS'. So the rule is firmer than I expected: declare the type before the first index run, or be prepared to delete the collection and start over.</w:t>
      </w:r>
    </w:p>
    <w:p>
      <w:r>
        <w:rPr>
          <w:b/>
          <w:i w:val="0"/>
          <w:sz w:val="22"/>
        </w:rPr>
        <w:t>Live search-as-you-type.</w:t>
      </w:r>
    </w:p>
    <w:p>
      <w:r>
        <w:rPr>
          <w:b w:val="0"/>
          <w:i w:val="0"/>
          <w:sz w:val="22"/>
        </w:rPr>
        <w:t>The Flask UI exposes a JSON endpoint at /api/search that returns the same result set as the rendered page. The frontend debounces input events on the search box (180 ms) and re-renders the result list on every keystroke, without reloading the page. history.replaceState keeps the URL in sync so any state (query, facets, sort) is still shareable. The traditional form submit also still works as a no-JavaScript fallback.</w:t>
      </w:r>
    </w:p>
    <w:p>
      <w:r>
        <w:rPr>
          <w:b/>
          <w:i w:val="0"/>
          <w:sz w:val="22"/>
        </w:rPr>
        <w:t>What I would change.</w:t>
      </w:r>
    </w:p>
    <w:p>
      <w:r>
        <w:rPr>
          <w:b w:val="0"/>
          <w:i w:val="0"/>
          <w:sz w:val="22"/>
        </w:rPr>
        <w:t>If I were doing this on a real catalog I would add a copyField from title and description into a single all-text field and qf against that, instead of listing each searchable field. I would also turn on the Suggester component for autocomplete instead of running a wildcard title query, which is what /suggest does today.</w:t>
      </w:r>
    </w:p>
    <w:p>
      <w:pPr>
        <w:pStyle w:val="Heading1"/>
      </w:pPr>
      <w:r>
        <w:rPr>
          <w:color w:val="1F4E79"/>
        </w:rPr>
        <w:t>7. Challenges Faced and Solutions</w:t>
      </w:r>
    </w:p>
    <w:p>
      <w:r>
        <w:rPr>
          <w:b/>
          <w:i w:val="0"/>
          <w:sz w:val="22"/>
        </w:rPr>
        <w:t>Challenge: Schema-less mode mis-typed numeric fields as strings</w:t>
      </w:r>
    </w:p>
    <w:p>
      <w:r>
        <w:rPr>
          <w:b w:val="0"/>
          <w:i w:val="0"/>
          <w:sz w:val="22"/>
        </w:rPr>
        <w:t>Solution: Explicitly POSTed add-field requests with pint/pfloat types BEFORE indexing. Once a field is auto-detected as string, it cannot be changed without deleting and reindexing.</w:t>
      </w:r>
    </w:p>
    <w:p>
      <w:r>
        <w:rPr>
          <w:b w:val="0"/>
          <w:i w:val="0"/>
          <w:sz w:val="22"/>
        </w:rPr>
      </w:r>
    </w:p>
    <w:p>
      <w:r>
        <w:rPr>
          <w:b/>
          <w:i w:val="0"/>
          <w:sz w:val="22"/>
        </w:rPr>
        <w:t>Challenge: Facet on a tokenized field returned split tokens (Science / Fiction)</w:t>
      </w:r>
    </w:p>
    <w:p>
      <w:r>
        <w:rPr>
          <w:b w:val="0"/>
          <w:i w:val="0"/>
          <w:sz w:val="22"/>
        </w:rPr>
        <w:t>Solution: Switched genre and publisher to type=string so the analyzer chain doesn't tokenize them.</w:t>
      </w:r>
    </w:p>
    <w:p>
      <w:r>
        <w:rPr>
          <w:b w:val="0"/>
          <w:i w:val="0"/>
          <w:sz w:val="22"/>
        </w:rPr>
      </w:r>
    </w:p>
    <w:p>
      <w:r>
        <w:rPr>
          <w:b/>
          <w:i w:val="0"/>
          <w:sz w:val="22"/>
        </w:rPr>
        <w:t>Challenge: Solr's default request-handler returned only 10 docs</w:t>
      </w:r>
    </w:p>
    <w:p>
      <w:r>
        <w:rPr>
          <w:b w:val="0"/>
          <w:i w:val="0"/>
          <w:sz w:val="22"/>
        </w:rPr>
        <w:t>Solution: Added rows= and start= parameters and built pagination controls in the Flask template.</w:t>
      </w:r>
    </w:p>
    <w:p>
      <w:r>
        <w:rPr>
          <w:b w:val="0"/>
          <w:i w:val="0"/>
          <w:sz w:val="22"/>
        </w:rPr>
      </w:r>
    </w:p>
    <w:p>
      <w:r>
        <w:rPr>
          <w:b/>
          <w:i w:val="0"/>
          <w:sz w:val="22"/>
        </w:rPr>
        <w:t>Challenge: Special characters in queries (':' '/' '"') broke parsing</w:t>
      </w:r>
    </w:p>
    <w:p>
      <w:r>
        <w:rPr>
          <w:b w:val="0"/>
          <w:i w:val="0"/>
          <w:sz w:val="22"/>
        </w:rPr>
        <w:t>Solution: Used edismax instead of the default lucene parser — edismax silently escapes user input and falls back gracefully on malformed queries.</w:t>
      </w:r>
    </w:p>
    <w:p>
      <w:r>
        <w:rPr>
          <w:b w:val="0"/>
          <w:i w:val="0"/>
          <w:sz w:val="22"/>
        </w:rPr>
      </w:r>
    </w:p>
    <w:p>
      <w:r>
        <w:rPr>
          <w:b/>
          <w:i w:val="0"/>
          <w:sz w:val="22"/>
        </w:rPr>
        <w:t>Challenge: CSV with embedded commas in description failed to import</w:t>
      </w:r>
    </w:p>
    <w:p>
      <w:r>
        <w:rPr>
          <w:b w:val="0"/>
          <w:i w:val="0"/>
          <w:sz w:val="22"/>
        </w:rPr>
        <w:t>Solution: Used header=true and the standard Solr CSV update handler, which handles quoted fields correctly per RFC 4180.</w:t>
      </w:r>
    </w:p>
    <w:p>
      <w:r>
        <w:rPr>
          <w:b w:val="0"/>
          <w:i w:val="0"/>
          <w:sz w:val="22"/>
        </w:rPr>
      </w:r>
    </w:p>
    <w:p>
      <w:pPr>
        <w:pStyle w:val="Heading1"/>
      </w:pPr>
      <w:r>
        <w:rPr>
          <w:color w:val="1F4E79"/>
        </w:rPr>
        <w:t>8. Conclusion</w:t>
      </w:r>
    </w:p>
    <w:p>
      <w:r>
        <w:rPr>
          <w:b w:val="0"/>
          <w:i w:val="0"/>
          <w:sz w:val="22"/>
        </w:rPr>
        <w:t>By the end I had a 2-node SolrCloud cluster running 9,929 real Goodreads records sharded across two cores, twelve query patterns working against the distributed collection, an empirical demonstration of why genre needs to be a string field rather than text_general, and a Flask UI exposing search, facets, range filters, sort, pagination, highlighting and autocomplete on top. Once the schema was right, almost every feature in the UI was just one HTTP GET against Solr.</w:t>
      </w:r>
    </w:p>
    <w:p>
      <w:r>
        <w:rPr>
          <w:b w:val="0"/>
          <w:i w:val="0"/>
          <w:sz w:val="22"/>
        </w:rPr>
        <w:t>Two things bit me and are worth remembering for next time. First: declare numeric and string field types BEFORE the first index run, because schemaless mode silently locks them in as strings the moment you commit a row. Second: keep facet fields untokenized, otherwise 'Science Fiction' becomes two buckets in the sidebar.</w:t>
      </w:r>
    </w:p>
    <w:p>
      <w:r>
        <w:rPr>
          <w:b w:val="0"/>
          <w:i w:val="0"/>
          <w:sz w:val="22"/>
        </w:rPr>
        <w:t>All the source, the dataset, the PowerShell setup scripts and the screenshots used in this report are in the linked repo.</w:t>
      </w:r>
    </w:p>
    <w:p>
      <w:r>
        <w:rPr>
          <w:b w:val="0"/>
          <w:i w:val="0"/>
          <w:sz w:val="22"/>
        </w:rPr>
      </w:r>
    </w:p>
    <w:p>
      <w:r>
        <w:rPr>
          <w:b/>
          <w:i w:val="0"/>
          <w:sz w:val="22"/>
        </w:rPr>
        <w:t>GitHub repository: https://github.com/huzvert/solr-books-lab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