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Lab 13 — Indexing, Importing and Searching Data in Apache Solr</w:t>
      </w:r>
    </w:p>
    <w:p>
      <w:pPr>
        <w:jc w:val="center"/>
      </w:pPr>
      <w:r>
        <w:rPr>
          <w:i/>
        </w:rPr>
        <w:t>Course: CS-347   |   Class: BSCS-13AB   |   Instructor: Dr. Khurram Shahzad</w:t>
        <w:br/>
        <w:t>Date: 8 May 2026</w:t>
      </w:r>
    </w:p>
    <w:p>
      <w:pPr>
        <w:jc w:val="center"/>
      </w:pPr>
      <w:r>
        <w:rPr>
          <w:b/>
        </w:rPr>
        <w:t>Student: Huzaifa Ali Satti   |   CMS ID: 468629   |   NUST SEECS</w:t>
      </w:r>
    </w:p>
    <w:p/>
    <w:p>
      <w:pPr>
        <w:pStyle w:val="Heading1"/>
      </w:pPr>
      <w:r>
        <w:rPr>
          <w:color w:val="1F4E79"/>
        </w:rPr>
        <w:t>1. Problem Statement</w:t>
      </w:r>
    </w:p>
    <w:p>
      <w:r>
        <w:rPr>
          <w:b w:val="0"/>
          <w:i w:val="0"/>
          <w:sz w:val="22"/>
        </w:rPr>
        <w:t>The lab task is to set up Apache Solr, index a real dataset, run a range of search queries against it, and put a web UI on top. Apache Solr is a Lucene-based search engine. It speaks HTTP, so most of the work in the UI is just translating form fields into query parameters. I picked a real Amazon product catalog as the corpus because it gives every UI feature (price-range filtering, in-stock facet, brand drilldown, rating sort) something real to operate on. This report covers both halves, with enough configuration detail that the grader can reproduce the setup on a fresh machine.</w:t>
      </w:r>
    </w:p>
    <w:p>
      <w:pPr>
        <w:pStyle w:val="Heading1"/>
      </w:pPr>
      <w:r>
        <w:rPr>
          <w:color w:val="1F4E79"/>
        </w:rPr>
        <w:t>2. Dataset Description</w:t>
      </w:r>
    </w:p>
    <w:p>
      <w:r>
        <w:rPr>
          <w:b w:val="0"/>
          <w:i w:val="0"/>
          <w:sz w:val="22"/>
        </w:rPr>
        <w:t>The dataset is the Bright Data Amazon-products sample (github.com/luminati-io/Amazon-dataset-samples), a public CSV of 1,000 real Amazon listings with 55 columns each. data/transform_amazon.py extracts the 11 fields used by this lab and drops 4 rows that are missing brand, price, or rating. The result is 996 products with all fields read directly from the source — no hash-derived or synthetic values.</w:t>
      </w:r>
    </w:p>
    <w:p>
      <w:r>
        <w:rPr>
          <w:b w:val="0"/>
          <w:i w:val="0"/>
          <w:sz w:val="22"/>
        </w:rPr>
        <w:t>Each record is a single product with these fields: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Solr type</w:t>
            </w:r>
          </w:p>
        </w:tc>
        <w:tc>
          <w:tcPr>
            <w:tcW w:type="dxa" w:w="2880"/>
          </w:tcPr>
          <w:p>
            <w:r>
              <w:t>Purpose</w:t>
            </w:r>
          </w:p>
        </w:tc>
      </w:tr>
      <w:tr>
        <w:tc>
          <w:tcPr>
            <w:tcW w:type="dxa" w:w="2880"/>
          </w:tcPr>
          <w:p>
            <w:r>
              <w:t>id</w:t>
            </w:r>
          </w:p>
        </w:tc>
        <w:tc>
          <w:tcPr>
            <w:tcW w:type="dxa" w:w="2880"/>
          </w:tcPr>
          <w:p>
            <w:r>
              <w:t>string</w:t>
            </w:r>
          </w:p>
        </w:tc>
        <w:tc>
          <w:tcPr>
            <w:tcW w:type="dxa" w:w="2880"/>
          </w:tcPr>
          <w:p>
            <w:r>
              <w:t>Amazon ASIN (B09NQJFRW6, B0074TRKFI, ...)</w:t>
            </w:r>
          </w:p>
        </w:tc>
      </w:tr>
      <w:tr>
        <w:tc>
          <w:tcPr>
            <w:tcW w:type="dxa" w:w="2880"/>
          </w:tcPr>
          <w:p>
            <w:r>
              <w:t>title</w:t>
            </w:r>
          </w:p>
        </w:tc>
        <w:tc>
          <w:tcPr>
            <w:tcW w:type="dxa" w:w="2880"/>
          </w:tcPr>
          <w:p>
            <w:r>
              <w:t>text_general</w:t>
            </w:r>
          </w:p>
        </w:tc>
        <w:tc>
          <w:tcPr>
            <w:tcW w:type="dxa" w:w="2880"/>
          </w:tcPr>
          <w:p>
            <w:r>
              <w:t>Product name (full-text indexed)</w:t>
            </w:r>
          </w:p>
        </w:tc>
      </w:tr>
      <w:tr>
        <w:tc>
          <w:tcPr>
            <w:tcW w:type="dxa" w:w="2880"/>
          </w:tcPr>
          <w:p>
            <w:r>
              <w:t>brand</w:t>
            </w:r>
          </w:p>
        </w:tc>
        <w:tc>
          <w:tcPr>
            <w:tcW w:type="dxa" w:w="2880"/>
          </w:tcPr>
          <w:p>
            <w:r>
              <w:t>string</w:t>
            </w:r>
          </w:p>
        </w:tc>
        <w:tc>
          <w:tcPr>
            <w:tcW w:type="dxa" w:w="2880"/>
          </w:tcPr>
          <w:p>
            <w:r>
              <w:t>Brand name — used as facet, untokenized so 'New Balance' stays one bucket</w:t>
            </w:r>
          </w:p>
        </w:tc>
      </w:tr>
      <w:tr>
        <w:tc>
          <w:tcPr>
            <w:tcW w:type="dxa" w:w="2880"/>
          </w:tcPr>
          <w:p>
            <w:r>
              <w:t>brand_text</w:t>
            </w:r>
          </w:p>
        </w:tc>
        <w:tc>
          <w:tcPr>
            <w:tcW w:type="dxa" w:w="2880"/>
          </w:tcPr>
          <w:p>
            <w:r>
              <w:t>text_general</w:t>
            </w:r>
          </w:p>
        </w:tc>
        <w:tc>
          <w:tcPr>
            <w:tcW w:type="dxa" w:w="2880"/>
          </w:tcPr>
          <w:p>
            <w:r>
              <w:t>Tokenized copy of brand for full-text search; populated via copyField</w:t>
            </w:r>
          </w:p>
        </w:tc>
      </w:tr>
      <w:tr>
        <w:tc>
          <w:tcPr>
            <w:tcW w:type="dxa" w:w="2880"/>
          </w:tcPr>
          <w:p>
            <w:r>
              <w:t>category</w:t>
            </w:r>
          </w:p>
        </w:tc>
        <w:tc>
          <w:tcPr>
            <w:tcW w:type="dxa" w:w="2880"/>
          </w:tcPr>
          <w:p>
            <w:r>
              <w:t>string</w:t>
            </w:r>
          </w:p>
        </w:tc>
        <w:tc>
          <w:tcPr>
            <w:tcW w:type="dxa" w:w="2880"/>
          </w:tcPr>
          <w:p>
            <w:r>
              <w:t>Top-level Amazon category — facet field</w:t>
            </w:r>
          </w:p>
        </w:tc>
      </w:tr>
      <w:tr>
        <w:tc>
          <w:tcPr>
            <w:tcW w:type="dxa" w:w="2880"/>
          </w:tcPr>
          <w:p>
            <w:r>
              <w:t>subcategory</w:t>
            </w:r>
          </w:p>
        </w:tc>
        <w:tc>
          <w:tcPr>
            <w:tcW w:type="dxa" w:w="2880"/>
          </w:tcPr>
          <w:p>
            <w:r>
              <w:t>string</w:t>
            </w:r>
          </w:p>
        </w:tc>
        <w:tc>
          <w:tcPr>
            <w:tcW w:type="dxa" w:w="2880"/>
          </w:tcPr>
          <w:p>
            <w:r>
              <w:t>Second-level Amazon category — facet field</w:t>
            </w:r>
          </w:p>
        </w:tc>
      </w:tr>
      <w:tr>
        <w:tc>
          <w:tcPr>
            <w:tcW w:type="dxa" w:w="2880"/>
          </w:tcPr>
          <w:p>
            <w:r>
              <w:t>year</w:t>
            </w:r>
          </w:p>
        </w:tc>
        <w:tc>
          <w:tcPr>
            <w:tcW w:type="dxa" w:w="2880"/>
          </w:tcPr>
          <w:p>
            <w:r>
              <w:t>pint</w:t>
            </w:r>
          </w:p>
        </w:tc>
        <w:tc>
          <w:tcPr>
            <w:tcW w:type="dxa" w:w="2880"/>
          </w:tcPr>
          <w:p>
            <w:r>
              <w:t>First-available year, parsed from date_first_available</w:t>
            </w:r>
          </w:p>
        </w:tc>
      </w:tr>
      <w:tr>
        <w:tc>
          <w:tcPr>
            <w:tcW w:type="dxa" w:w="2880"/>
          </w:tcPr>
          <w:p>
            <w:r>
              <w:t>num_reviews</w:t>
            </w:r>
          </w:p>
        </w:tc>
        <w:tc>
          <w:tcPr>
            <w:tcW w:type="dxa" w:w="2880"/>
          </w:tcPr>
          <w:p>
            <w:r>
              <w:t>pint</w:t>
            </w:r>
          </w:p>
        </w:tc>
        <w:tc>
          <w:tcPr>
            <w:tcW w:type="dxa" w:w="2880"/>
          </w:tcPr>
          <w:p>
            <w:r>
              <w:t>Review count from Amazon, sortable</w:t>
            </w:r>
          </w:p>
        </w:tc>
      </w:tr>
      <w:tr>
        <w:tc>
          <w:tcPr>
            <w:tcW w:type="dxa" w:w="2880"/>
          </w:tcPr>
          <w:p>
            <w:r>
              <w:t>price</w:t>
            </w:r>
          </w:p>
        </w:tc>
        <w:tc>
          <w:tcPr>
            <w:tcW w:type="dxa" w:w="2880"/>
          </w:tcPr>
          <w:p>
            <w:r>
              <w:t>pfloat</w:t>
            </w:r>
          </w:p>
        </w:tc>
        <w:tc>
          <w:tcPr>
            <w:tcW w:type="dxa" w:w="2880"/>
          </w:tcPr>
          <w:p>
            <w:r>
              <w:t>Real Amazon price in USD</w:t>
            </w:r>
          </w:p>
        </w:tc>
      </w:tr>
      <w:tr>
        <w:tc>
          <w:tcPr>
            <w:tcW w:type="dxa" w:w="2880"/>
          </w:tcPr>
          <w:p>
            <w:r>
              <w:t>rating</w:t>
            </w:r>
          </w:p>
        </w:tc>
        <w:tc>
          <w:tcPr>
            <w:tcW w:type="dxa" w:w="2880"/>
          </w:tcPr>
          <w:p>
            <w:r>
              <w:t>pfloat</w:t>
            </w:r>
          </w:p>
        </w:tc>
        <w:tc>
          <w:tcPr>
            <w:tcW w:type="dxa" w:w="2880"/>
          </w:tcPr>
          <w:p>
            <w:r>
              <w:t>Real Amazon star rating (1.0-5.0)</w:t>
            </w:r>
          </w:p>
        </w:tc>
      </w:tr>
      <w:tr>
        <w:tc>
          <w:tcPr>
            <w:tcW w:type="dxa" w:w="2880"/>
          </w:tcPr>
          <w:p>
            <w:r>
              <w:t>in_stock</w:t>
            </w:r>
          </w:p>
        </w:tc>
        <w:tc>
          <w:tcPr>
            <w:tcW w:type="dxa" w:w="2880"/>
          </w:tcPr>
          <w:p>
            <w:r>
              <w:t>boolean</w:t>
            </w:r>
          </w:p>
        </w:tc>
        <w:tc>
          <w:tcPr>
            <w:tcW w:type="dxa" w:w="2880"/>
          </w:tcPr>
          <w:p>
            <w:r>
              <w:t>Mapped from the availability column (true unless 'out of stock' / 'unavailable')</w:t>
            </w:r>
          </w:p>
        </w:tc>
      </w:tr>
      <w:tr>
        <w:tc>
          <w:tcPr>
            <w:tcW w:type="dxa" w:w="2880"/>
          </w:tcPr>
          <w:p>
            <w:r>
              <w:t>description</w:t>
            </w:r>
          </w:p>
        </w:tc>
        <w:tc>
          <w:tcPr>
            <w:tcW w:type="dxa" w:w="2880"/>
          </w:tcPr>
          <w:p>
            <w:r>
              <w:t>text_general</w:t>
            </w:r>
          </w:p>
        </w:tc>
        <w:tc>
          <w:tcPr>
            <w:tcW w:type="dxa" w:w="2880"/>
          </w:tcPr>
          <w:p>
            <w:r>
              <w:t>Real product description, truncated to 1500 chars</w:t>
            </w:r>
          </w:p>
        </w:tc>
      </w:tr>
    </w:tbl>
    <w:p>
      <w:r>
        <w:rPr>
          <w:b w:val="0"/>
          <w:i w:val="0"/>
          <w:sz w:val="22"/>
        </w:rPr>
      </w:r>
    </w:p>
    <w:p>
      <w:r>
        <w:rPr>
          <w:b w:val="0"/>
          <w:i w:val="0"/>
          <w:sz w:val="22"/>
        </w:rPr>
        <w:t>Source: github.com/luminati-io/Amazon-dataset-samples. Format: CSV, 996 rows after cleaning, ~2 MB. Top categories are Clothing/Shoes/Jewelry (216), Home &amp; Kitchen (150), Tools &amp; Home Improvement (112), Sports &amp; Outdoors (78) and Electronics (75). Brands range from household names (Skechers, New Balance, BOSCH, adidas) to long-tail third-party sellers.</w:t>
      </w:r>
    </w:p>
    <w:p>
      <w:pPr>
        <w:pStyle w:val="Heading1"/>
      </w:pPr>
      <w:r>
        <w:rPr>
          <w:color w:val="1F4E79"/>
        </w:rPr>
        <w:t>3. Configuration Details</w:t>
      </w:r>
    </w:p>
    <w:p>
      <w:r>
        <w:rPr>
          <w:b/>
          <w:i w:val="0"/>
          <w:sz w:val="22"/>
        </w:rPr>
        <w:t>Software stack:</w:t>
      </w:r>
    </w:p>
    <w:p>
      <w:r>
        <w:rPr>
          <w:b w:val="0"/>
          <w:i w:val="0"/>
          <w:sz w:val="22"/>
        </w:rPr>
        <w:t>* Apache Solr 9.6.1 (SolrCloud mode, 2 nodes, embedded ZooKeeper)</w:t>
        <w:br/>
        <w:t>* OpenJDK 21</w:t>
        <w:br/>
        <w:t>* Python 3.13 with Flask 3.x and requests</w:t>
        <w:br/>
        <w:t>* Windows 11</w:t>
      </w:r>
    </w:p>
    <w:p>
      <w:r>
        <w:rPr>
          <w:b/>
          <w:i w:val="0"/>
          <w:sz w:val="22"/>
        </w:rPr>
        <w:t>Cluster topology:</w:t>
      </w:r>
    </w:p>
    <w:p>
      <w:r>
        <w:rPr>
          <w:b w:val="0"/>
          <w:i w:val="0"/>
          <w:sz w:val="22"/>
        </w:rPr>
        <w:t>I started Solr with 'solr.cmd -e cloud -noprompt', which provisions a two-node cluster: node1 on port 8983 and node2 on port 7574, with an embedded ZooKeeper instance on port 9983 coordinating cluster state. The 'products' collection is created with numShards=2 and replicationFactor=2, giving 4 cores total: each shard has a leader on one node and a replica on the other. With ~996 documents that puts roughly 498 in each shard. The Flask UI talks to a single endpoint (http://localhost:8983/solr/products/select) and Solr transparently fan-outs the query to both shards and merges the results.</w:t>
      </w:r>
    </w:p>
    <w:p>
      <w:r>
        <w:rPr>
          <w:b/>
          <w:i w:val="0"/>
          <w:sz w:val="22"/>
        </w:rPr>
        <w:t>Solr core:</w:t>
      </w:r>
    </w:p>
    <w:p>
      <w:r>
        <w:rPr>
          <w:b w:val="0"/>
          <w:i w:val="0"/>
          <w:sz w:val="22"/>
        </w:rPr>
        <w:t>The collection 'products' was created via the SolrCloud Collections API with numShards=2 and replicationFactor=2. Schema fields were registered via add-field POSTs to /solr/products/schema (setup.ps1). Doing this BEFORE the first index run matters: once Solr's schemaless mode auto-detects a field, you cannot change it without wiping the collection.</w:t>
      </w:r>
    </w:p>
    <w:p>
      <w:r>
        <w:rPr>
          <w:b/>
          <w:i w:val="0"/>
          <w:sz w:val="22"/>
        </w:rPr>
        <w:t>Field types selected:</w:t>
      </w:r>
    </w:p>
    <w:p>
      <w:r>
        <w:rPr>
          <w:b w:val="0"/>
          <w:i w:val="0"/>
          <w:sz w:val="22"/>
        </w:rPr>
        <w:t>* text_general for title and description. StandardTokenizer + lowercase + stopword filters give case-insensitive full-text search without extra work on my side.</w:t>
        <w:br/>
        <w:t>* string for brand, category and subcategory. These are facet fields. If brand were tokenized 'New Balance' would become two buckets ('new', 'balance'), which is exactly the bug Section 6 demonstrates with category in a side experiment.</w:t>
        <w:br/>
        <w:t>* copyField from brand to brand_text (text_general). brand stays untokenized so the facet is correct, while brand_text gets fed by the analyzer chain so a query like 'asics' still matches the brand 'ASICS' through case folding.</w:t>
        <w:br/>
        <w:t>* pint, pfloat, boolean for the numeric and flag fields. Point-based numerics are the right choice for the price-range filter and rating-sort used in the UI.</w:t>
      </w:r>
    </w:p>
    <w:p>
      <w:pPr>
        <w:pStyle w:val="Heading1"/>
      </w:pPr>
      <w:r>
        <w:rPr>
          <w:color w:val="1F4E79"/>
        </w:rPr>
        <w:t>4. Implementation Steps</w:t>
      </w:r>
    </w:p>
    <w:p>
      <w:r>
        <w:rPr>
          <w:b/>
          <w:i w:val="0"/>
          <w:sz w:val="22"/>
        </w:rPr>
        <w:t>1. Install Solr</w:t>
      </w:r>
    </w:p>
    <w:p>
      <w:r>
        <w:rPr>
          <w:b w:val="0"/>
          <w:i w:val="0"/>
          <w:sz w:val="22"/>
        </w:rPr>
        <w:t xml:space="preserve">   Downloaded solr-9.6.1.tgz from archive.apache.org and extracted.</w:t>
      </w:r>
    </w:p>
    <w:p>
      <w:r>
        <w:rPr>
          <w:b/>
          <w:i w:val="0"/>
          <w:sz w:val="22"/>
        </w:rPr>
        <w:t>2. Start a SolrCloud cluster</w:t>
      </w:r>
    </w:p>
    <w:p>
      <w:r>
        <w:rPr>
          <w:b w:val="0"/>
          <w:i w:val="0"/>
          <w:sz w:val="22"/>
        </w:rPr>
        <w:t xml:space="preserve">   .\solr-9.6.1\bin\solr.cmd -e cloud -noprompt brings up 2 nodes (8983, 7574) with embedded ZooKeeper on 9983.</w:t>
      </w:r>
    </w:p>
    <w:p>
      <w:r>
        <w:rPr>
          <w:b/>
          <w:i w:val="0"/>
          <w:sz w:val="22"/>
        </w:rPr>
        <w:t>3. Download dataset</w:t>
      </w:r>
    </w:p>
    <w:p>
      <w:r>
        <w:rPr>
          <w:b w:val="0"/>
          <w:i w:val="0"/>
          <w:sz w:val="22"/>
        </w:rPr>
        <w:t xml:space="preserve">   curl the raw Amazon-products sample from github.com/luminati-io/Amazon-dataset-samples into data/amazon_raw.csv (1,000 rows, 55 columns).</w:t>
      </w:r>
    </w:p>
    <w:p>
      <w:r>
        <w:rPr>
          <w:b/>
          <w:i w:val="0"/>
          <w:sz w:val="22"/>
        </w:rPr>
        <w:t>4. Transform dataset</w:t>
      </w:r>
    </w:p>
    <w:p>
      <w:r>
        <w:rPr>
          <w:b w:val="0"/>
          <w:i w:val="0"/>
          <w:sz w:val="22"/>
        </w:rPr>
        <w:t xml:space="preserve">   python data/transform_amazon.py extracts the 11 fields used by this lab and drops 4 rows missing brand/price/rating. 996 valid rows out.</w:t>
      </w:r>
    </w:p>
    <w:p>
      <w:r>
        <w:rPr>
          <w:b/>
          <w:i w:val="0"/>
          <w:sz w:val="22"/>
        </w:rPr>
        <w:t>5. Create sharded collection</w:t>
      </w:r>
    </w:p>
    <w:p>
      <w:r>
        <w:rPr>
          <w:b w:val="0"/>
          <w:i w:val="0"/>
          <w:sz w:val="22"/>
        </w:rPr>
        <w:t xml:space="preserve">   POST /solr/admin/collections?action=CREATE&amp;name=products&amp;numShards=2&amp;replicationFactor=2&amp;collection.configName=_default — gives 4 cores spread across the two nodes.</w:t>
      </w:r>
    </w:p>
    <w:p>
      <w:r>
        <w:rPr>
          <w:b/>
          <w:i w:val="0"/>
          <w:sz w:val="22"/>
        </w:rPr>
        <w:t>6. Define schema</w:t>
      </w:r>
    </w:p>
    <w:p>
      <w:r>
        <w:rPr>
          <w:b w:val="0"/>
          <w:i w:val="0"/>
          <w:sz w:val="22"/>
        </w:rPr>
        <w:t xml:space="preserve">   POST add-field JSON for the 11 domain fields plus a copyField from brand to brand_text.</w:t>
      </w:r>
    </w:p>
    <w:p>
      <w:r>
        <w:rPr>
          <w:b/>
          <w:i w:val="0"/>
          <w:sz w:val="22"/>
        </w:rPr>
        <w:t>7. Index data</w:t>
      </w:r>
    </w:p>
    <w:p>
      <w:r>
        <w:rPr>
          <w:b w:val="0"/>
          <w:i w:val="0"/>
          <w:sz w:val="22"/>
        </w:rPr>
        <w:t xml:space="preserve">   POST products.csv to /solr/products/update?commit=true&amp;header=true with Content-Type application/csv. 996 docs commit in under a second.</w:t>
      </w:r>
    </w:p>
    <w:p>
      <w:r>
        <w:rPr>
          <w:b/>
          <w:i w:val="0"/>
          <w:sz w:val="22"/>
        </w:rPr>
        <w:t>8. Verify shard distribution</w:t>
      </w:r>
    </w:p>
    <w:p>
      <w:r>
        <w:rPr>
          <w:b w:val="0"/>
          <w:i w:val="0"/>
          <w:sz w:val="22"/>
        </w:rPr>
        <w:t xml:space="preserve">   The 996 documents land roughly evenly across both shards via hash-based routing on the id field.</w:t>
      </w:r>
    </w:p>
    <w:p>
      <w:r>
        <w:rPr>
          <w:b/>
          <w:i w:val="0"/>
          <w:sz w:val="22"/>
        </w:rPr>
        <w:t>9. Run sample queries</w:t>
      </w:r>
    </w:p>
    <w:p>
      <w:r>
        <w:rPr>
          <w:b w:val="0"/>
          <w:i w:val="0"/>
          <w:sz w:val="22"/>
        </w:rPr>
        <w:t xml:space="preserve">   12 query types exercised in sample_queries.md — full-text edismax, fq, facet, range facet, hl, fuzzy, function-query boost, grouping.</w:t>
      </w:r>
    </w:p>
    <w:p>
      <w:r>
        <w:rPr>
          <w:b/>
          <w:i w:val="0"/>
          <w:sz w:val="22"/>
        </w:rPr>
        <w:t>10. Field-types experiment</w:t>
      </w:r>
    </w:p>
    <w:p>
      <w:r>
        <w:rPr>
          <w:b w:val="0"/>
          <w:i w:val="0"/>
          <w:sz w:val="22"/>
        </w:rPr>
        <w:t xml:space="preserve">   Created a separate 'products_bad' collection on a different configset with category declared as text_general instead of string. See Observations for the broken facet output.</w:t>
      </w:r>
    </w:p>
    <w:p>
      <w:r>
        <w:rPr>
          <w:b/>
          <w:i w:val="0"/>
          <w:sz w:val="22"/>
        </w:rPr>
        <w:t>11. Configure Suggester</w:t>
      </w:r>
    </w:p>
    <w:p>
      <w:r>
        <w:rPr>
          <w:b w:val="0"/>
          <w:i w:val="0"/>
          <w:sz w:val="22"/>
        </w:rPr>
        <w:t xml:space="preserve">   Posted SuggestComponent + /suggest_handler config to /solr/products/config (AnalyzingInfixLookupFactory over the title field).</w:t>
      </w:r>
    </w:p>
    <w:p>
      <w:r>
        <w:rPr>
          <w:b/>
          <w:i w:val="0"/>
          <w:sz w:val="22"/>
        </w:rPr>
        <w:t>12. Build Flask UI</w:t>
      </w:r>
    </w:p>
    <w:p>
      <w:r>
        <w:rPr>
          <w:b w:val="0"/>
          <w:i w:val="0"/>
          <w:sz w:val="22"/>
        </w:rPr>
        <w:t xml:space="preserve">   app/app.py wires Solr's HTTP API to a Jinja template; /suggest delegates to the SuggestComponent and /api/search powers live search-as-you-type.</w:t>
      </w:r>
    </w:p>
    <w:p>
      <w:r>
        <w:rPr>
          <w:b/>
          <w:i w:val="0"/>
          <w:sz w:val="22"/>
        </w:rPr>
        <w:t>13. Test in browser</w:t>
      </w:r>
    </w:p>
    <w:p>
      <w:r>
        <w:rPr>
          <w:b w:val="0"/>
          <w:i w:val="0"/>
          <w:sz w:val="22"/>
        </w:rPr>
        <w:t xml:space="preserve">   Search, facets, price-range filter, sort dropdown, pagination, highlighting, autocomplete and live search verified manually with real queries (running, wireless, Skechers, ASICS).</w:t>
      </w:r>
    </w:p>
    <w:p>
      <w:r>
        <w:rPr>
          <w:b w:val="0"/>
          <w:i w:val="0"/>
          <w:sz w:val="22"/>
        </w:rPr>
        <w:t>The indexing command itself is a single REST call:</w:t>
      </w:r>
    </w:p>
    <w:p>
      <w:r>
        <w:rPr>
          <w:rFonts w:ascii="Consolas" w:hAnsi="Consolas"/>
          <w:sz w:val="18"/>
        </w:rPr>
        <w:t>Invoke-RestMethod -Method Post `</w:t>
        <w:br/>
        <w:t xml:space="preserve">  -Uri "http://localhost:8983/solr/products/update?commit=true" `</w:t>
        <w:br/>
        <w:t xml:space="preserve">  -ContentType "application/csv; charset=utf-8" `</w:t>
        <w:br/>
        <w:t xml:space="preserve">  -InFile data/products.csv</w:t>
      </w:r>
    </w:p>
    <w:p>
      <w:pPr>
        <w:pStyle w:val="Heading1"/>
      </w:pPr>
      <w:r>
        <w:rPr>
          <w:color w:val="1F4E79"/>
        </w:rPr>
        <w:t>5. Screenshots</w:t>
      </w:r>
    </w:p>
    <w:p>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01_solr_admin.png"/>
                    <pic:cNvPicPr/>
                  </pic:nvPicPr>
                  <pic:blipFill>
                    <a:blip r:embed="rId9"/>
                    <a:stretch>
                      <a:fillRect/>
                    </a:stretch>
                  </pic:blipFill>
                  <pic:spPr>
                    <a:xfrm>
                      <a:off x="0" y="0"/>
                      <a:ext cx="5486400" cy="3857625"/>
                    </a:xfrm>
                    <a:prstGeom prst="rect"/>
                  </pic:spPr>
                </pic:pic>
              </a:graphicData>
            </a:graphic>
          </wp:inline>
        </w:drawing>
      </w:r>
    </w:p>
    <w:p>
      <w:pPr>
        <w:jc w:val="center"/>
      </w:pPr>
      <w:r>
        <w:rPr>
          <w:i/>
          <w:sz w:val="18"/>
        </w:rPr>
        <w:t>Figure 1. Solr Admin UI dashboard showing the running SolrCloud instance.</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9_solrcloud_topology.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Figure 2. SolrCloud Cloud &gt; Nodes view: two nodes (ports 8983 and 7574), each hosting two replicas of the sharded 'products' collection.</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11_query_tab.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Figure 3. Solr Admin &gt; Query tab on the products collection — the in-browser query builder used for ad-hoc testing during development.</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10_schema_tab.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Figure 4. Schema tab for the 'brand' field on the products collection. Field-Type is StrField (string), Tokenized=NO. This keeps multi-word brands like 'New Balance' as a single facet bucket.</w:t>
      </w:r>
    </w:p>
    <w:p>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13_field_experiment_bad_schema.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Figure 5. Same view on the products_bad collection where category is declared as text_general (Tokenized=YES). The deliberate misconfiguration that powers the experiment in Section 6.</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02_indexed_count.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Figure 6. q=*:* against the products collection returns numFound=996 (sum across both shards).</w:t>
      </w:r>
    </w:p>
    <w:p>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03_facet_query.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Figure 7. Faceted search by category and brand — the distributed query merges counts from both shards.</w:t>
      </w:r>
    </w:p>
    <w:p>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04_highlight.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Figure 8. Hit highlighting wraps matched terms with &lt;mark&gt; tags in the description field.</w:t>
      </w:r>
    </w:p>
    <w:p>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12_field_experiment.png"/>
                    <pic:cNvPicPr/>
                  </pic:nvPicPr>
                  <pic:blipFill>
                    <a:blip r:embed="rId17"/>
                    <a:stretch>
                      <a:fillRect/>
                    </a:stretch>
                  </pic:blipFill>
                  <pic:spPr>
                    <a:xfrm>
                      <a:off x="0" y="0"/>
                      <a:ext cx="5486400" cy="3857625"/>
                    </a:xfrm>
                    <a:prstGeom prst="rect"/>
                  </pic:spPr>
                </pic:pic>
              </a:graphicData>
            </a:graphic>
          </wp:inline>
        </w:drawing>
      </w:r>
    </w:p>
    <w:p>
      <w:pPr>
        <w:jc w:val="center"/>
      </w:pPr>
      <w:r>
        <w:rPr>
          <w:i/>
          <w:sz w:val="18"/>
        </w:rPr>
        <w:t>Figure 9. Broken facet output from products_bad: the StandardTokenizer split 'Consumer Electronics', 'Home Office' and 'Athletic Footwear' into individual lowercased tokens. Each multi-word category is now two unrelated buckets.</w:t>
      </w:r>
    </w:p>
    <w:p>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05_web_ui.png"/>
                    <pic:cNvPicPr/>
                  </pic:nvPicPr>
                  <pic:blipFill>
                    <a:blip r:embed="rId18"/>
                    <a:stretch>
                      <a:fillRect/>
                    </a:stretch>
                  </pic:blipFill>
                  <pic:spPr>
                    <a:xfrm>
                      <a:off x="0" y="0"/>
                      <a:ext cx="5486400" cy="3857625"/>
                    </a:xfrm>
                    <a:prstGeom prst="rect"/>
                  </pic:spPr>
                </pic:pic>
              </a:graphicData>
            </a:graphic>
          </wp:inline>
        </w:drawing>
      </w:r>
    </w:p>
    <w:p>
      <w:pPr>
        <w:jc w:val="center"/>
      </w:pPr>
      <w:r>
        <w:rPr>
          <w:i/>
          <w:sz w:val="18"/>
        </w:rPr>
        <w:t>Figure 10. Flask web UI: a search for 'running' returns ASICS, WETIKE, Skechers and other real Amazon products, with highlighted hits and sidebar facets.</w:t>
      </w:r>
    </w:p>
    <w:p>
      <w:r>
        <w:drawing>
          <wp:inline xmlns:a="http://schemas.openxmlformats.org/drawingml/2006/main" xmlns:pic="http://schemas.openxmlformats.org/drawingml/2006/picture">
            <wp:extent cx="5486400" cy="3857625"/>
            <wp:docPr id="11" name="Picture 11"/>
            <wp:cNvGraphicFramePr>
              <a:graphicFrameLocks noChangeAspect="1"/>
            </wp:cNvGraphicFramePr>
            <a:graphic>
              <a:graphicData uri="http://schemas.openxmlformats.org/drawingml/2006/picture">
                <pic:pic>
                  <pic:nvPicPr>
                    <pic:cNvPr id="0" name="06_autocomplete.png"/>
                    <pic:cNvPicPr/>
                  </pic:nvPicPr>
                  <pic:blipFill>
                    <a:blip r:embed="rId19"/>
                    <a:stretch>
                      <a:fillRect/>
                    </a:stretch>
                  </pic:blipFill>
                  <pic:spPr>
                    <a:xfrm>
                      <a:off x="0" y="0"/>
                      <a:ext cx="5486400" cy="3857625"/>
                    </a:xfrm>
                    <a:prstGeom prst="rect"/>
                  </pic:spPr>
                </pic:pic>
              </a:graphicData>
            </a:graphic>
          </wp:inline>
        </w:drawing>
      </w:r>
    </w:p>
    <w:p>
      <w:pPr>
        <w:jc w:val="center"/>
      </w:pPr>
      <w:r>
        <w:rPr>
          <w:i/>
          <w:sz w:val="18"/>
        </w:rPr>
        <w:t>Figure 11. Search results for the query 'shoes' — multiple categories surfaced via edismax across title and description.</w:t>
      </w:r>
    </w:p>
    <w:p>
      <w:r>
        <w:drawing>
          <wp:inline xmlns:a="http://schemas.openxmlformats.org/drawingml/2006/main" xmlns:pic="http://schemas.openxmlformats.org/drawingml/2006/picture">
            <wp:extent cx="5486400" cy="3857625"/>
            <wp:docPr id="12" name="Picture 12"/>
            <wp:cNvGraphicFramePr>
              <a:graphicFrameLocks noChangeAspect="1"/>
            </wp:cNvGraphicFramePr>
            <a:graphic>
              <a:graphicData uri="http://schemas.openxmlformats.org/drawingml/2006/picture">
                <pic:pic>
                  <pic:nvPicPr>
                    <pic:cNvPr id="0" name="07_facet_ui.png"/>
                    <pic:cNvPicPr/>
                  </pic:nvPicPr>
                  <pic:blipFill>
                    <a:blip r:embed="rId20"/>
                    <a:stretch>
                      <a:fillRect/>
                    </a:stretch>
                  </pic:blipFill>
                  <pic:spPr>
                    <a:xfrm>
                      <a:off x="0" y="0"/>
                      <a:ext cx="5486400" cy="3857625"/>
                    </a:xfrm>
                    <a:prstGeom prst="rect"/>
                  </pic:spPr>
                </pic:pic>
              </a:graphicData>
            </a:graphic>
          </wp:inline>
        </w:drawing>
      </w:r>
    </w:p>
    <w:p>
      <w:pPr>
        <w:jc w:val="center"/>
      </w:pPr>
      <w:r>
        <w:rPr>
          <w:i/>
          <w:sz w:val="18"/>
        </w:rPr>
        <w:t>Figure 12. Facet drilldown: filtering on category = Electronics updates the result list and the sidebar's co-occurring brands.</w:t>
      </w:r>
    </w:p>
    <w:p>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08_sort_ui.png"/>
                    <pic:cNvPicPr/>
                  </pic:nvPicPr>
                  <pic:blipFill>
                    <a:blip r:embed="rId21"/>
                    <a:stretch>
                      <a:fillRect/>
                    </a:stretch>
                  </pic:blipFill>
                  <pic:spPr>
                    <a:xfrm>
                      <a:off x="0" y="0"/>
                      <a:ext cx="5486400" cy="3857625"/>
                    </a:xfrm>
                    <a:prstGeom prst="rect"/>
                  </pic:spPr>
                </pic:pic>
              </a:graphicData>
            </a:graphic>
          </wp:inline>
        </w:drawing>
      </w:r>
    </w:p>
    <w:p>
      <w:pPr>
        <w:jc w:val="center"/>
      </w:pPr>
      <w:r>
        <w:rPr>
          <w:i/>
          <w:sz w:val="18"/>
        </w:rPr>
        <w:t>Figure 13. Sort by rating descending returns the highest-rated products first.</w:t>
      </w:r>
    </w:p>
    <w:p>
      <w:r>
        <w:drawing>
          <wp:inline xmlns:a="http://schemas.openxmlformats.org/drawingml/2006/main" xmlns:pic="http://schemas.openxmlformats.org/drawingml/2006/picture">
            <wp:extent cx="5486400" cy="3857625"/>
            <wp:docPr id="14" name="Picture 14"/>
            <wp:cNvGraphicFramePr>
              <a:graphicFrameLocks noChangeAspect="1"/>
            </wp:cNvGraphicFramePr>
            <a:graphic>
              <a:graphicData uri="http://schemas.openxmlformats.org/drawingml/2006/picture">
                <pic:pic>
                  <pic:nvPicPr>
                    <pic:cNvPr id="0" name="14_live_search.png"/>
                    <pic:cNvPicPr/>
                  </pic:nvPicPr>
                  <pic:blipFill>
                    <a:blip r:embed="rId22"/>
                    <a:stretch>
                      <a:fillRect/>
                    </a:stretch>
                  </pic:blipFill>
                  <pic:spPr>
                    <a:xfrm>
                      <a:off x="0" y="0"/>
                      <a:ext cx="5486400" cy="3857625"/>
                    </a:xfrm>
                    <a:prstGeom prst="rect"/>
                  </pic:spPr>
                </pic:pic>
              </a:graphicData>
            </a:graphic>
          </wp:inline>
        </w:drawing>
      </w:r>
    </w:p>
    <w:p>
      <w:pPr>
        <w:jc w:val="center"/>
      </w:pPr>
      <w:r>
        <w:rPr>
          <w:i/>
          <w:sz w:val="18"/>
        </w:rPr>
        <w:t>Figure 14. Live search-as-you-type. The result list re-renders on every keystroke via fetch to /api/search, and history.replaceState keeps the URL in sync so any state remains shareable.</w:t>
      </w:r>
    </w:p>
    <w:p>
      <w:r>
        <w:drawing>
          <wp:inline xmlns:a="http://schemas.openxmlformats.org/drawingml/2006/main" xmlns:pic="http://schemas.openxmlformats.org/drawingml/2006/picture">
            <wp:extent cx="5486400" cy="3857625"/>
            <wp:docPr id="15" name="Picture 15"/>
            <wp:cNvGraphicFramePr>
              <a:graphicFrameLocks noChangeAspect="1"/>
            </wp:cNvGraphicFramePr>
            <a:graphic>
              <a:graphicData uri="http://schemas.openxmlformats.org/drawingml/2006/picture">
                <pic:pic>
                  <pic:nvPicPr>
                    <pic:cNvPr id="0" name="15_failover_before.png"/>
                    <pic:cNvPicPr/>
                  </pic:nvPicPr>
                  <pic:blipFill>
                    <a:blip r:embed="rId23"/>
                    <a:stretch>
                      <a:fillRect/>
                    </a:stretch>
                  </pic:blipFill>
                  <pic:spPr>
                    <a:xfrm>
                      <a:off x="0" y="0"/>
                      <a:ext cx="5486400" cy="3857625"/>
                    </a:xfrm>
                    <a:prstGeom prst="rect"/>
                  </pic:spPr>
                </pic:pic>
              </a:graphicData>
            </a:graphic>
          </wp:inline>
        </w:drawing>
      </w:r>
    </w:p>
    <w:p>
      <w:pPr>
        <w:jc w:val="center"/>
      </w:pPr>
      <w:r>
        <w:rPr>
          <w:i/>
          <w:sz w:val="18"/>
        </w:rPr>
        <w:t>Figure 15. Cluster topology before the failover test: both nodes (8983 and 7574) live, products collection's four replicas spread across them.</w:t>
      </w:r>
    </w:p>
    <w:p>
      <w:r>
        <w:drawing>
          <wp:inline xmlns:a="http://schemas.openxmlformats.org/drawingml/2006/main" xmlns:pic="http://schemas.openxmlformats.org/drawingml/2006/picture">
            <wp:extent cx="5486400" cy="3857625"/>
            <wp:docPr id="16" name="Picture 16"/>
            <wp:cNvGraphicFramePr>
              <a:graphicFrameLocks noChangeAspect="1"/>
            </wp:cNvGraphicFramePr>
            <a:graphic>
              <a:graphicData uri="http://schemas.openxmlformats.org/drawingml/2006/picture">
                <pic:pic>
                  <pic:nvPicPr>
                    <pic:cNvPr id="0" name="16_failover_after.png"/>
                    <pic:cNvPicPr/>
                  </pic:nvPicPr>
                  <pic:blipFill>
                    <a:blip r:embed="rId24"/>
                    <a:stretch>
                      <a:fillRect/>
                    </a:stretch>
                  </pic:blipFill>
                  <pic:spPr>
                    <a:xfrm>
                      <a:off x="0" y="0"/>
                      <a:ext cx="5486400" cy="3857625"/>
                    </a:xfrm>
                    <a:prstGeom prst="rect"/>
                  </pic:spPr>
                </pic:pic>
              </a:graphicData>
            </a:graphic>
          </wp:inline>
        </w:drawing>
      </w:r>
    </w:p>
    <w:p>
      <w:pPr>
        <w:jc w:val="center"/>
      </w:pPr>
      <w:r>
        <w:rPr>
          <w:i/>
          <w:sz w:val="18"/>
        </w:rPr>
        <w:t>Figure 16. Same view after running 'solr.cmd stop -p 7574'. Only one node is live; the products collection is still fully available because each shard has a replica on the surviving node.</w:t>
      </w:r>
    </w:p>
    <w:p>
      <w:r>
        <w:drawing>
          <wp:inline xmlns:a="http://schemas.openxmlformats.org/drawingml/2006/main" xmlns:pic="http://schemas.openxmlformats.org/drawingml/2006/picture">
            <wp:extent cx="5486400" cy="3857625"/>
            <wp:docPr id="17" name="Picture 17"/>
            <wp:cNvGraphicFramePr>
              <a:graphicFrameLocks noChangeAspect="1"/>
            </wp:cNvGraphicFramePr>
            <a:graphic>
              <a:graphicData uri="http://schemas.openxmlformats.org/drawingml/2006/picture">
                <pic:pic>
                  <pic:nvPicPr>
                    <pic:cNvPr id="0" name="17_failover_query.png"/>
                    <pic:cNvPicPr/>
                  </pic:nvPicPr>
                  <pic:blipFill>
                    <a:blip r:embed="rId25"/>
                    <a:stretch>
                      <a:fillRect/>
                    </a:stretch>
                  </pic:blipFill>
                  <pic:spPr>
                    <a:xfrm>
                      <a:off x="0" y="0"/>
                      <a:ext cx="5486400" cy="3857625"/>
                    </a:xfrm>
                    <a:prstGeom prst="rect"/>
                  </pic:spPr>
                </pic:pic>
              </a:graphicData>
            </a:graphic>
          </wp:inline>
        </w:drawing>
      </w:r>
    </w:p>
    <w:p>
      <w:pPr>
        <w:jc w:val="center"/>
      </w:pPr>
      <w:r>
        <w:rPr>
          <w:i/>
          <w:sz w:val="18"/>
        </w:rPr>
        <w:t>Figure 17. Flask web UI search for 'running' continues to return real Amazon results while node2 is down — confirming fault-tolerant distributed search.</w:t>
      </w:r>
    </w:p>
    <w:p>
      <w:r>
        <w:drawing>
          <wp:inline xmlns:a="http://schemas.openxmlformats.org/drawingml/2006/main" xmlns:pic="http://schemas.openxmlformats.org/drawingml/2006/picture">
            <wp:extent cx="5486400" cy="3857625"/>
            <wp:docPr id="18" name="Picture 18"/>
            <wp:cNvGraphicFramePr>
              <a:graphicFrameLocks noChangeAspect="1"/>
            </wp:cNvGraphicFramePr>
            <a:graphic>
              <a:graphicData uri="http://schemas.openxmlformats.org/drawingml/2006/picture">
                <pic:pic>
                  <pic:nvPicPr>
                    <pic:cNvPr id="0" name="18_failover_json.png"/>
                    <pic:cNvPicPr/>
                  </pic:nvPicPr>
                  <pic:blipFill>
                    <a:blip r:embed="rId26"/>
                    <a:stretch>
                      <a:fillRect/>
                    </a:stretch>
                  </pic:blipFill>
                  <pic:spPr>
                    <a:xfrm>
                      <a:off x="0" y="0"/>
                      <a:ext cx="5486400" cy="3857625"/>
                    </a:xfrm>
                    <a:prstGeom prst="rect"/>
                  </pic:spPr>
                </pic:pic>
              </a:graphicData>
            </a:graphic>
          </wp:inline>
        </w:drawing>
      </w:r>
    </w:p>
    <w:p>
      <w:pPr>
        <w:jc w:val="center"/>
      </w:pPr>
      <w:r>
        <w:rPr>
          <w:i/>
          <w:sz w:val="18"/>
        </w:rPr>
        <w:t>Figure 18. Raw Solr JSON response for the same query during the failover, captured directly from the surviving node1 endpoint.</w:t>
      </w:r>
    </w:p>
    <w:p>
      <w:r>
        <w:drawing>
          <wp:inline xmlns:a="http://schemas.openxmlformats.org/drawingml/2006/main" xmlns:pic="http://schemas.openxmlformats.org/drawingml/2006/picture">
            <wp:extent cx="5486400" cy="3857625"/>
            <wp:docPr id="19" name="Picture 19"/>
            <wp:cNvGraphicFramePr>
              <a:graphicFrameLocks noChangeAspect="1"/>
            </wp:cNvGraphicFramePr>
            <a:graphic>
              <a:graphicData uri="http://schemas.openxmlformats.org/drawingml/2006/picture">
                <pic:pic>
                  <pic:nvPicPr>
                    <pic:cNvPr id="0" name="19_suggester.png"/>
                    <pic:cNvPicPr/>
                  </pic:nvPicPr>
                  <pic:blipFill>
                    <a:blip r:embed="rId27"/>
                    <a:stretch>
                      <a:fillRect/>
                    </a:stretch>
                  </pic:blipFill>
                  <pic:spPr>
                    <a:xfrm>
                      <a:off x="0" y="0"/>
                      <a:ext cx="5486400" cy="3857625"/>
                    </a:xfrm>
                    <a:prstGeom prst="rect"/>
                  </pic:spPr>
                </pic:pic>
              </a:graphicData>
            </a:graphic>
          </wp:inline>
        </w:drawing>
      </w:r>
    </w:p>
    <w:p>
      <w:pPr>
        <w:jc w:val="center"/>
      </w:pPr>
      <w:r>
        <w:rPr>
          <w:i/>
          <w:sz w:val="18"/>
        </w:rPr>
        <w:t>Figure 19. SuggestComponent response for suggest.q=harry — returns full title strings with the matched substring wrapped in &lt;b&gt;...&lt;/b&gt; via AnalyzingInfixLookupFactory.</w:t>
      </w:r>
    </w:p>
    <w:p>
      <w:pPr>
        <w:pStyle w:val="Heading1"/>
      </w:pPr>
      <w:r>
        <w:rPr>
          <w:color w:val="1F4E79"/>
        </w:rPr>
        <w:t>6. Observations and Analysis</w:t>
      </w:r>
    </w:p>
    <w:p>
      <w:r>
        <w:rPr>
          <w:b/>
          <w:i w:val="0"/>
          <w:sz w:val="22"/>
        </w:rPr>
        <w:t>Performance.</w:t>
      </w:r>
    </w:p>
    <w:p>
      <w:r>
        <w:rPr>
          <w:b w:val="0"/>
          <w:i w:val="0"/>
          <w:sz w:val="22"/>
        </w:rPr>
        <w:t>Cold-cache queries on the 600-row index came back in 8 to 25 ms (the QTime field in the response header). Repeated queries dropped to 0 or 1 ms once Solr's filter, query and document caches warmed up. fq is cached separately from q, so clicking through facets reuses cached filter sets and stays under a millisecond.</w:t>
      </w:r>
    </w:p>
    <w:p>
      <w:r>
        <w:rPr>
          <w:b/>
          <w:i w:val="0"/>
          <w:sz w:val="22"/>
        </w:rPr>
        <w:t>Ranking.</w:t>
      </w:r>
    </w:p>
    <w:p>
      <w:r>
        <w:rPr>
          <w:b w:val="0"/>
          <w:i w:val="0"/>
          <w:sz w:val="22"/>
        </w:rPr>
        <w:t>I used edismax with qf=title^3 brand_text^2 description. The 3x boost on title is what makes a search for 'running' surface 'ASICS Women's Gel-Cumulus 20 Running Shoes' before a product that merely mentions running in its description. Without the boost, body matches drown out title matches because product descriptions are much longer than titles.</w:t>
      </w:r>
    </w:p>
    <w:p>
      <w:r>
        <w:rPr>
          <w:b/>
          <w:i w:val="0"/>
          <w:sz w:val="22"/>
        </w:rPr>
        <w:t>Faceting.</w:t>
      </w:r>
    </w:p>
    <w:p>
      <w:r>
        <w:rPr>
          <w:b w:val="0"/>
          <w:i w:val="0"/>
          <w:sz w:val="22"/>
        </w:rPr>
        <w:t>facet.field on category and brand gave me the sidebar counts directly. facet.range on price, with start=0, end=500 and gap=50, produced the price-bucket histogram. facet.mincount=1 hides empty buckets, which keeps the sidebar from filling up with zeros once the user drills down.</w:t>
      </w:r>
    </w:p>
    <w:p>
      <w:r>
        <w:rPr>
          <w:b/>
          <w:i w:val="0"/>
          <w:sz w:val="22"/>
        </w:rPr>
        <w:t>Highlighting.</w:t>
      </w:r>
    </w:p>
    <w:p>
      <w:r>
        <w:rPr>
          <w:b w:val="0"/>
          <w:i w:val="0"/>
          <w:sz w:val="22"/>
        </w:rPr>
        <w:t>hl=true with hl.simple.pre=&lt;mark&gt; tells Solr to wrap matched terms in the HTML &lt;mark&gt; tag inside the highlighted fragment. The Flask template just renders that fragment with |safe, which is enough to get yellow boxes around the matched terms in the result list.</w:t>
      </w:r>
    </w:p>
    <w:p>
      <w:r>
        <w:rPr>
          <w:b/>
          <w:i w:val="0"/>
          <w:sz w:val="22"/>
        </w:rPr>
        <w:t>Field-types experiment.</w:t>
      </w:r>
    </w:p>
    <w:p>
      <w:r>
        <w:rPr>
          <w:b w:val="0"/>
          <w:i w:val="0"/>
          <w:sz w:val="22"/>
        </w:rPr>
        <w:t>To prove the schema choices in section 3 actually matter, I created a second collection 'products_bad' on a separate configset, declared its 'category' field as text_general instead of string, and indexed six rows covering three multi-word categories (Consumer Electronics x2, Home Office x2, Athletic Footwear x2).</w:t>
      </w:r>
    </w:p>
    <w:p>
      <w:r>
        <w:rPr>
          <w:b w:val="0"/>
          <w:i w:val="0"/>
          <w:sz w:val="22"/>
        </w:rPr>
        <w:t>products_bad facet output (Figure 9): 'electronics' -&gt; 2, 'consumer' -&gt; 2, 'home' -&gt; 2, 'office' -&gt; 2, 'athletic' -&gt; 2, 'footwear' -&gt; 2.</w:t>
      </w:r>
    </w:p>
    <w:p>
      <w:r>
        <w:rPr>
          <w:b w:val="0"/>
          <w:i w:val="0"/>
          <w:sz w:val="22"/>
        </w:rPr>
        <w:t>The StandardTokenizer split each multi-word value on whitespace and lowercased the tokens. 'Consumer Electronics' became {consumer, electronics}, 'Home Office' became {home, office}, and so on. The category names that the user actually sees in the UI sidebar are gone.</w:t>
      </w:r>
    </w:p>
    <w:p>
      <w:r>
        <w:rPr>
          <w:b w:val="0"/>
          <w:i w:val="0"/>
          <w:sz w:val="22"/>
        </w:rPr>
        <w:t>products (production) facet output for comparison: 'Clothing, Shoes &amp; Jewelry' -&gt; 216, 'Home &amp; Kitchen' -&gt; 150, 'Tools &amp; Home Improvement' -&gt; 112, ...</w:t>
      </w:r>
    </w:p>
    <w:p>
      <w:r>
        <w:rPr>
          <w:b w:val="0"/>
          <w:i w:val="0"/>
          <w:sz w:val="22"/>
        </w:rPr>
        <w:t>string fields skip the analyzer chain entirely. Each value is indexed byte-for-byte, so multi-word categories survive intact and the sidebar gets the counts it needs. Same applies to the brand field — without it, 'New Balance' would show as separate 'new' and 'balance' buckets.</w:t>
      </w:r>
    </w:p>
    <w:p>
      <w:r>
        <w:rPr>
          <w:b w:val="0"/>
          <w:i w:val="0"/>
          <w:sz w:val="22"/>
        </w:rPr>
        <w:t>Side-finding while running this experiment: replacing the type on an already-indexed collection produced this Lucene error on the next write — 'cannot change field category from index options=DOCS to inconsistent index options=DOCS_AND_FREQS_AND_POSITIONS'. The rule is firmer than I expected: declare the type before the first index run, or be prepared to delete the collection and start over.</w:t>
      </w:r>
    </w:p>
    <w:p>
      <w:r>
        <w:rPr>
          <w:b/>
          <w:i w:val="0"/>
          <w:sz w:val="22"/>
        </w:rPr>
        <w:t>Fault tolerance (failover demo).</w:t>
      </w:r>
    </w:p>
    <w:p>
      <w:r>
        <w:rPr>
          <w:b w:val="0"/>
          <w:i w:val="0"/>
          <w:sz w:val="22"/>
        </w:rPr>
        <w:t>I tested the cluster's tolerance to a node failure. Starting from both nodes up and 996 products indexed, I stopped node2 with 'solr.cmd stop -p 7574' and re-ran the production queries against the surviving node1 endpoint. Cluster status now reported live_nodes = ['localhost:8983_solr'] (only one), but queries kept returning correct results: q=*:* still numFound=996, edismax q=running still surfaced the ASICS, Skechers and New Balance shoes at the top. The reason is replicationFactor=2: every shard has a replica on each node, so node1 alone has a full copy of the collection. I restarted node2 afterwards and the cluster returned to its 2-node state without any manual intervention. See Figures 15-18.</w:t>
      </w:r>
    </w:p>
    <w:p>
      <w:r>
        <w:rPr>
          <w:b/>
          <w:i w:val="0"/>
          <w:sz w:val="22"/>
        </w:rPr>
        <w:t>Performance methodology and shard-overhead measurement.</w:t>
      </w:r>
    </w:p>
    <w:p>
      <w:r>
        <w:rPr>
          <w:b w:val="0"/>
          <w:i w:val="0"/>
          <w:sz w:val="22"/>
        </w:rPr>
        <w:t>I wrote benchmark.py (in the repo root) which runs each of the 12 query patterns 10 times: one cold call after a core RELOAD to clear all caches, then 9 warm runs. QTime is read from the response header (Solr-side cost only, excluding network round-trip). The same 12 queries were run in two configurations against the same 996-document collection: distributed (Solr fan-outs to both shards and merges) and single-shard (distrib=false, hits one shard's ~5,000 docs). Mean and p95 QTime over the 9 warm runs are reported.</w:t>
      </w:r>
    </w:p>
    <w:p>
      <w:r>
        <w:rPr>
          <w:b w:val="0"/>
          <w:i w:val="0"/>
          <w:sz w:val="22"/>
        </w:rPr>
        <w:t>Selected results (mean QTime over 9 warm runs, in ms):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Query</w:t>
            </w:r>
          </w:p>
        </w:tc>
        <w:tc>
          <w:tcPr>
            <w:tcW w:type="dxa" w:w="2160"/>
          </w:tcPr>
          <w:p>
            <w:r>
              <w:t>distributed (2 shards)</w:t>
            </w:r>
          </w:p>
        </w:tc>
        <w:tc>
          <w:tcPr>
            <w:tcW w:type="dxa" w:w="2160"/>
          </w:tcPr>
          <w:p>
            <w:r>
              <w:t>single-shard</w:t>
            </w:r>
          </w:p>
        </w:tc>
        <w:tc>
          <w:tcPr>
            <w:tcW w:type="dxa" w:w="2160"/>
          </w:tcPr>
          <w:p>
            <w:r>
              <w:t>ratio</w:t>
            </w:r>
          </w:p>
        </w:tc>
      </w:tr>
      <w:tr>
        <w:tc>
          <w:tcPr>
            <w:tcW w:type="dxa" w:w="2160"/>
          </w:tcPr>
          <w:p>
            <w:r>
              <w:t>Q1 match-all</w:t>
            </w:r>
          </w:p>
        </w:tc>
        <w:tc>
          <w:tcPr>
            <w:tcW w:type="dxa" w:w="2160"/>
          </w:tcPr>
          <w:p>
            <w:r>
              <w:t>24.3</w:t>
            </w:r>
          </w:p>
        </w:tc>
        <w:tc>
          <w:tcPr>
            <w:tcW w:type="dxa" w:w="2160"/>
          </w:tcPr>
          <w:p>
            <w:r>
              <w:t>0.9</w:t>
            </w:r>
          </w:p>
        </w:tc>
        <w:tc>
          <w:tcPr>
            <w:tcW w:type="dxa" w:w="2160"/>
          </w:tcPr>
          <w:p>
            <w:r>
              <w:t>27x</w:t>
            </w:r>
          </w:p>
        </w:tc>
      </w:tr>
      <w:tr>
        <w:tc>
          <w:tcPr>
            <w:tcW w:type="dxa" w:w="2160"/>
          </w:tcPr>
          <w:p>
            <w:r>
              <w:t>Q2 edismax full-text</w:t>
            </w:r>
          </w:p>
        </w:tc>
        <w:tc>
          <w:tcPr>
            <w:tcW w:type="dxa" w:w="2160"/>
          </w:tcPr>
          <w:p>
            <w:r>
              <w:t>32.4</w:t>
            </w:r>
          </w:p>
        </w:tc>
        <w:tc>
          <w:tcPr>
            <w:tcW w:type="dxa" w:w="2160"/>
          </w:tcPr>
          <w:p>
            <w:r>
              <w:t>1.7</w:t>
            </w:r>
          </w:p>
        </w:tc>
        <w:tc>
          <w:tcPr>
            <w:tcW w:type="dxa" w:w="2160"/>
          </w:tcPr>
          <w:p>
            <w:r>
              <w:t>19x</w:t>
            </w:r>
          </w:p>
        </w:tc>
      </w:tr>
      <w:tr>
        <w:tc>
          <w:tcPr>
            <w:tcW w:type="dxa" w:w="2160"/>
          </w:tcPr>
          <w:p>
            <w:r>
              <w:t>Q3 fq + price range</w:t>
            </w:r>
          </w:p>
        </w:tc>
        <w:tc>
          <w:tcPr>
            <w:tcW w:type="dxa" w:w="2160"/>
          </w:tcPr>
          <w:p>
            <w:r>
              <w:t>11.7</w:t>
            </w:r>
          </w:p>
        </w:tc>
        <w:tc>
          <w:tcPr>
            <w:tcW w:type="dxa" w:w="2160"/>
          </w:tcPr>
          <w:p>
            <w:r>
              <w:t>2.0</w:t>
            </w:r>
          </w:p>
        </w:tc>
        <w:tc>
          <w:tcPr>
            <w:tcW w:type="dxa" w:w="2160"/>
          </w:tcPr>
          <w:p>
            <w:r>
              <w:t>6x</w:t>
            </w:r>
          </w:p>
        </w:tc>
      </w:tr>
      <w:tr>
        <w:tc>
          <w:tcPr>
            <w:tcW w:type="dxa" w:w="2160"/>
          </w:tcPr>
          <w:p>
            <w:r>
              <w:t>Q4 multi-field facets</w:t>
            </w:r>
          </w:p>
        </w:tc>
        <w:tc>
          <w:tcPr>
            <w:tcW w:type="dxa" w:w="2160"/>
          </w:tcPr>
          <w:p>
            <w:r>
              <w:t>18.3</w:t>
            </w:r>
          </w:p>
        </w:tc>
        <w:tc>
          <w:tcPr>
            <w:tcW w:type="dxa" w:w="2160"/>
          </w:tcPr>
          <w:p>
            <w:r>
              <w:t>1.8</w:t>
            </w:r>
          </w:p>
        </w:tc>
        <w:tc>
          <w:tcPr>
            <w:tcW w:type="dxa" w:w="2160"/>
          </w:tcPr>
          <w:p>
            <w:r>
              <w:t>10x</w:t>
            </w:r>
          </w:p>
        </w:tc>
      </w:tr>
      <w:tr>
        <w:tc>
          <w:tcPr>
            <w:tcW w:type="dxa" w:w="2160"/>
          </w:tcPr>
          <w:p>
            <w:r>
              <w:t>Q5 sort rating+reviews</w:t>
            </w:r>
          </w:p>
        </w:tc>
        <w:tc>
          <w:tcPr>
            <w:tcW w:type="dxa" w:w="2160"/>
          </w:tcPr>
          <w:p>
            <w:r>
              <w:t>10.9</w:t>
            </w:r>
          </w:p>
        </w:tc>
        <w:tc>
          <w:tcPr>
            <w:tcW w:type="dxa" w:w="2160"/>
          </w:tcPr>
          <w:p>
            <w:r>
              <w:t>0.6</w:t>
            </w:r>
          </w:p>
        </w:tc>
        <w:tc>
          <w:tcPr>
            <w:tcW w:type="dxa" w:w="2160"/>
          </w:tcPr>
          <w:p>
            <w:r>
              <w:t>20x</w:t>
            </w:r>
          </w:p>
        </w:tc>
      </w:tr>
      <w:tr>
        <w:tc>
          <w:tcPr>
            <w:tcW w:type="dxa" w:w="2160"/>
          </w:tcPr>
          <w:p>
            <w:r>
              <w:t>Q6 highlighting</w:t>
            </w:r>
          </w:p>
        </w:tc>
        <w:tc>
          <w:tcPr>
            <w:tcW w:type="dxa" w:w="2160"/>
          </w:tcPr>
          <w:p>
            <w:r>
              <w:t>33.4</w:t>
            </w:r>
          </w:p>
        </w:tc>
        <w:tc>
          <w:tcPr>
            <w:tcW w:type="dxa" w:w="2160"/>
          </w:tcPr>
          <w:p>
            <w:r>
              <w:t>16.6</w:t>
            </w:r>
          </w:p>
        </w:tc>
        <w:tc>
          <w:tcPr>
            <w:tcW w:type="dxa" w:w="2160"/>
          </w:tcPr>
          <w:p>
            <w:r>
              <w:t>2x</w:t>
            </w:r>
          </w:p>
        </w:tc>
      </w:tr>
      <w:tr>
        <w:tc>
          <w:tcPr>
            <w:tcW w:type="dxa" w:w="2160"/>
          </w:tcPr>
          <w:p>
            <w:r>
              <w:t>Q9 fuzzy</w:t>
            </w:r>
          </w:p>
        </w:tc>
        <w:tc>
          <w:tcPr>
            <w:tcW w:type="dxa" w:w="2160"/>
          </w:tcPr>
          <w:p>
            <w:r>
              <w:t>14.9</w:t>
            </w:r>
          </w:p>
        </w:tc>
        <w:tc>
          <w:tcPr>
            <w:tcW w:type="dxa" w:w="2160"/>
          </w:tcPr>
          <w:p>
            <w:r>
              <w:t>2.4</w:t>
            </w:r>
          </w:p>
        </w:tc>
        <w:tc>
          <w:tcPr>
            <w:tcW w:type="dxa" w:w="2160"/>
          </w:tcPr>
          <w:p>
            <w:r>
              <w:t>6x</w:t>
            </w:r>
          </w:p>
        </w:tc>
      </w:tr>
      <w:tr>
        <w:tc>
          <w:tcPr>
            <w:tcW w:type="dxa" w:w="2160"/>
          </w:tcPr>
          <w:p>
            <w:r>
              <w:t>Q11 paging start=100</w:t>
            </w:r>
          </w:p>
        </w:tc>
        <w:tc>
          <w:tcPr>
            <w:tcW w:type="dxa" w:w="2160"/>
          </w:tcPr>
          <w:p>
            <w:r>
              <w:t>13.3</w:t>
            </w:r>
          </w:p>
        </w:tc>
        <w:tc>
          <w:tcPr>
            <w:tcW w:type="dxa" w:w="2160"/>
          </w:tcPr>
          <w:p>
            <w:r>
              <w:t>0.3</w:t>
            </w:r>
          </w:p>
        </w:tc>
        <w:tc>
          <w:tcPr>
            <w:tcW w:type="dxa" w:w="2160"/>
          </w:tcPr>
          <w:p>
            <w:r>
              <w:t>40x</w:t>
            </w:r>
          </w:p>
        </w:tc>
      </w:tr>
    </w:tbl>
    <w:p>
      <w:r>
        <w:rPr>
          <w:b/>
          <w:i w:val="0"/>
          <w:sz w:val="22"/>
        </w:rPr>
        <w:t>Interpretation.</w:t>
      </w:r>
    </w:p>
    <w:p>
      <w:r>
        <w:rPr>
          <w:b w:val="0"/>
          <w:i w:val="0"/>
          <w:sz w:val="22"/>
        </w:rPr>
        <w:t>Distributed wins zero of the twelve queries. It is 1.5x to 40x slower than the single-shard equivalent across the board. The reason is boring once you look at the single-shard column: each shard's work on 498 documents is already sub-millisecond for most queries. There is nothing to parallelize. The coordinator still has to fan out, wait for the slower replica, and merge the responses, and that overhead is what is actually being measured.</w:t>
      </w:r>
    </w:p>
    <w:p>
      <w:r>
        <w:rPr>
          <w:b w:val="0"/>
          <w:i w:val="0"/>
          <w:sz w:val="22"/>
        </w:rPr>
        <w:t>Sharding starts paying off when per-shard work is expensive enough to make coordinator cost look small. For Lucene that usually means millions of documents, not one thousand. The cluster was worth setting up because the prerequisite asked for it and because it lets me demonstrate failover, but I would not shard a 1,000-row catalog in production. Per-query numbers including p95 are in report/benchmark_results.txt.</w:t>
      </w:r>
    </w:p>
    <w:p>
      <w:r>
        <w:rPr>
          <w:b/>
          <w:i w:val="0"/>
          <w:sz w:val="22"/>
        </w:rPr>
        <w:t>Suggester component (autocomplete).</w:t>
      </w:r>
    </w:p>
    <w:p>
      <w:r>
        <w:rPr>
          <w:b w:val="0"/>
          <w:i w:val="0"/>
          <w:sz w:val="22"/>
        </w:rPr>
        <w:t>After the empirical benchmark I replaced the original wildcard-based autocomplete with Solr's proper SuggestComponent. I posted this configuration to /solr/products/config:</w:t>
      </w:r>
    </w:p>
    <w:p>
      <w:r>
        <w:rPr>
          <w:rFonts w:ascii="Consolas" w:hAnsi="Consolas"/>
          <w:sz w:val="18"/>
        </w:rPr>
        <w:t>{"add-searchcomponent":{</w:t>
        <w:br/>
        <w:t xml:space="preserve">   "name":"suggest_component",</w:t>
        <w:br/>
        <w:t xml:space="preserve">   "class":"solr.SuggestComponent",</w:t>
        <w:br/>
        <w:t xml:space="preserve">   "suggester":{</w:t>
        <w:br/>
        <w:t xml:space="preserve">     "name":"titleSuggester",</w:t>
        <w:br/>
        <w:t xml:space="preserve">     "lookupImpl":"AnalyzingInfixLookupFactory",</w:t>
        <w:br/>
        <w:t xml:space="preserve">     "dictionaryImpl":"DocumentDictionaryFactory",</w:t>
        <w:br/>
        <w:t xml:space="preserve">     "field":"title",</w:t>
        <w:br/>
        <w:t xml:space="preserve">     "suggestAnalyzerFieldType":"text_general",</w:t>
        <w:br/>
        <w:t xml:space="preserve">     "buildOnCommit":"true"</w:t>
        <w:br/>
        <w:t xml:space="preserve">   }},</w:t>
        <w:br/>
        <w:t xml:space="preserve"> "add-requesthandler":{</w:t>
        <w:br/>
        <w:t xml:space="preserve">   "name":"/suggest_handler",</w:t>
        <w:br/>
        <w:t xml:space="preserve">   "class":"solr.SearchHandler",</w:t>
        <w:br/>
        <w:t xml:space="preserve">   "defaults":{"suggest":"true","suggest.count":"10",</w:t>
        <w:br/>
        <w:t xml:space="preserve">              "suggest.dictionary":"titleSuggester"},</w:t>
        <w:br/>
        <w:t xml:space="preserve">   "components":["suggest_component"]}</w:t>
        <w:br/>
        <w:t>}</w:t>
      </w:r>
    </w:p>
    <w:p>
      <w:r>
        <w:rPr>
          <w:b w:val="0"/>
          <w:i w:val="0"/>
          <w:sz w:val="22"/>
        </w:rPr>
        <w:t>AnalyzingInfixLookupFactory does prefix AND infix matching against the analyzed title field, so 'harry' matches 'The Lincoln Lawyer the title field, so 'running' surfaces 'ASICS Women's Gel-Cumulus 20 Running Shoes' alongside 'WETIKE Mesh Slip On Lightweight Running Sneakers'. The Flask /suggest endpoint now calls the Suggester first and falls back to the wildcard query if the handler isn't configured (older deployments). See Figure 19.</w:t>
      </w:r>
    </w:p>
    <w:p>
      <w:r>
        <w:rPr>
          <w:b/>
          <w:i w:val="0"/>
          <w:sz w:val="22"/>
        </w:rPr>
        <w:t>Side-finding while configuring this:</w:t>
      </w:r>
    </w:p>
    <w:p>
      <w:r>
        <w:rPr>
          <w:b w:val="0"/>
          <w:i w:val="0"/>
          <w:sz w:val="22"/>
        </w:rPr>
        <w:t>The first time I posted this config I sent buildOnCommit: true as a JSON boolean and got a 500 back. The Solr server log had the real story: 'class java.lang.Boolean cannot be cast to class java.lang.String' inside SuggestComponent.inform(). Quoting it as "true" worked immediately. The schema and config APIs accept JSON but pass several values through string parsers internally, so any unquoted boolean or number can hit this.</w:t>
      </w:r>
    </w:p>
    <w:p>
      <w:r>
        <w:rPr>
          <w:b/>
          <w:i w:val="0"/>
          <w:sz w:val="22"/>
        </w:rPr>
        <w:t>Live search-as-you-type.</w:t>
      </w:r>
    </w:p>
    <w:p>
      <w:r>
        <w:rPr>
          <w:b w:val="0"/>
          <w:i w:val="0"/>
          <w:sz w:val="22"/>
        </w:rPr>
        <w:t>The Flask UI exposes a JSON endpoint at /api/search that returns the same result set as the rendered page. The frontend debounces input events on the search box (180 ms) and re-renders the result list on every keystroke, without reloading the page. history.replaceState keeps the URL in sync so any state (query, facets, sort) is still shareable. The traditional form submit also still works as a no-JavaScript fallback.</w:t>
      </w:r>
    </w:p>
    <w:p>
      <w:r>
        <w:rPr>
          <w:b/>
          <w:i w:val="0"/>
          <w:sz w:val="22"/>
        </w:rPr>
        <w:t>What I would change.</w:t>
      </w:r>
    </w:p>
    <w:p>
      <w:r>
        <w:rPr>
          <w:b w:val="0"/>
          <w:i w:val="0"/>
          <w:sz w:val="22"/>
        </w:rPr>
        <w:t>If I were doing this on a real catalog I would add a copyField from title and description into a single all-text field and qf against that, instead of listing each searchable field. I would also turn on the Suggester component for autocomplete instead of running a wildcard title query, which is what /suggest does today.</w:t>
      </w:r>
    </w:p>
    <w:p>
      <w:pPr>
        <w:pStyle w:val="Heading1"/>
      </w:pPr>
      <w:r>
        <w:rPr>
          <w:color w:val="1F4E79"/>
        </w:rPr>
        <w:t>7. Challenges Faced and Solutions</w:t>
      </w:r>
    </w:p>
    <w:p>
      <w:r>
        <w:rPr>
          <w:b/>
          <w:i w:val="0"/>
          <w:sz w:val="22"/>
        </w:rPr>
        <w:t>Challenge: Schema-less mode mis-typed numeric fields as strings</w:t>
      </w:r>
    </w:p>
    <w:p>
      <w:r>
        <w:rPr>
          <w:b w:val="0"/>
          <w:i w:val="0"/>
          <w:sz w:val="22"/>
        </w:rPr>
        <w:t>Solution: Explicitly POSTed add-field requests with pint/pfloat types BEFORE indexing. Once a field is auto-detected as string, it cannot be changed without deleting and reindexing.</w:t>
      </w:r>
    </w:p>
    <w:p>
      <w:r>
        <w:rPr>
          <w:b w:val="0"/>
          <w:i w:val="0"/>
          <w:sz w:val="22"/>
        </w:rPr>
      </w:r>
    </w:p>
    <w:p>
      <w:r>
        <w:rPr>
          <w:b/>
          <w:i w:val="0"/>
          <w:sz w:val="22"/>
        </w:rPr>
        <w:t>Challenge: Facet on a tokenized field returned split tokens (Science / Fiction)</w:t>
      </w:r>
    </w:p>
    <w:p>
      <w:r>
        <w:rPr>
          <w:b w:val="0"/>
          <w:i w:val="0"/>
          <w:sz w:val="22"/>
        </w:rPr>
        <w:t>Solution: Switched category and brand to type=string so the analyzer chain doesn't tokenize them. Added brand_text (text_general, populated via copyField) for full-text search.</w:t>
      </w:r>
    </w:p>
    <w:p>
      <w:r>
        <w:rPr>
          <w:b w:val="0"/>
          <w:i w:val="0"/>
          <w:sz w:val="22"/>
        </w:rPr>
      </w:r>
    </w:p>
    <w:p>
      <w:r>
        <w:rPr>
          <w:b/>
          <w:i w:val="0"/>
          <w:sz w:val="22"/>
        </w:rPr>
        <w:t>Challenge: Solr's default request-handler returned only 10 docs</w:t>
      </w:r>
    </w:p>
    <w:p>
      <w:r>
        <w:rPr>
          <w:b w:val="0"/>
          <w:i w:val="0"/>
          <w:sz w:val="22"/>
        </w:rPr>
        <w:t>Solution: Added rows= and start= parameters and built pagination controls in the Flask template.</w:t>
      </w:r>
    </w:p>
    <w:p>
      <w:r>
        <w:rPr>
          <w:b w:val="0"/>
          <w:i w:val="0"/>
          <w:sz w:val="22"/>
        </w:rPr>
      </w:r>
    </w:p>
    <w:p>
      <w:r>
        <w:rPr>
          <w:b/>
          <w:i w:val="0"/>
          <w:sz w:val="22"/>
        </w:rPr>
        <w:t>Challenge: Special characters in queries (':' '/' '"') broke parsing</w:t>
      </w:r>
    </w:p>
    <w:p>
      <w:r>
        <w:rPr>
          <w:b w:val="0"/>
          <w:i w:val="0"/>
          <w:sz w:val="22"/>
        </w:rPr>
        <w:t>Solution: Used edismax instead of the default lucene parser — edismax silently escapes user input and falls back gracefully on malformed queries.</w:t>
      </w:r>
    </w:p>
    <w:p>
      <w:r>
        <w:rPr>
          <w:b w:val="0"/>
          <w:i w:val="0"/>
          <w:sz w:val="22"/>
        </w:rPr>
      </w:r>
    </w:p>
    <w:p>
      <w:r>
        <w:rPr>
          <w:b/>
          <w:i w:val="0"/>
          <w:sz w:val="22"/>
        </w:rPr>
        <w:t>Challenge: CSV with embedded commas in description failed to import</w:t>
      </w:r>
    </w:p>
    <w:p>
      <w:r>
        <w:rPr>
          <w:b w:val="0"/>
          <w:i w:val="0"/>
          <w:sz w:val="22"/>
        </w:rPr>
        <w:t>Solution: Used header=true and the standard Solr CSV update handler, which handles quoted fields correctly per RFC 4180.</w:t>
      </w:r>
    </w:p>
    <w:p>
      <w:r>
        <w:rPr>
          <w:b w:val="0"/>
          <w:i w:val="0"/>
          <w:sz w:val="22"/>
        </w:rPr>
      </w:r>
    </w:p>
    <w:p>
      <w:pPr>
        <w:pStyle w:val="Heading1"/>
      </w:pPr>
      <w:r>
        <w:rPr>
          <w:color w:val="1F4E79"/>
        </w:rPr>
        <w:t>8. Conclusion</w:t>
      </w:r>
    </w:p>
    <w:p>
      <w:r>
        <w:rPr>
          <w:b w:val="0"/>
          <w:i w:val="0"/>
          <w:sz w:val="22"/>
        </w:rPr>
        <w:t>By the end I had a 2-node SolrCloud cluster holding 996 real Amazon products across two shards, with replicas mirrored so a node failure does not take queries down. Twelve query patterns work against the distributed collection, all of them against real fields read from the source CSV. The Flask UI on top covers search, facets, price range, sort, pagination, highlighting, real autocomplete via SuggestComponent, and search-as-you-type.</w:t>
      </w:r>
    </w:p>
    <w:p>
      <w:r>
        <w:rPr>
          <w:b w:val="0"/>
          <w:i w:val="0"/>
          <w:sz w:val="22"/>
        </w:rPr>
        <w:t>Two findings I want to keep from the empirical work. First, schema choices are load-bearing in a way I did not appreciate before. Declaring brand or category as text_general silently splits multi-word values like 'New Balance' or 'Home &amp; Kitchen' across separate facet buckets. The fix is string + a copyField to a tokenized sibling for full-text search. Second, sharding at this corpus size is a net loss. The distributed version of every query was 1.5x to 40x slower than the single-shard equivalent because the coordinator overhead dominates when per-shard work is already sub-millisecond. The cluster is the right shape for the topology and failover demos, but I would not shard a 1,000-row catalog in production.</w:t>
      </w:r>
    </w:p>
    <w:p>
      <w:r>
        <w:rPr>
          <w:b w:val="0"/>
          <w:i w:val="0"/>
          <w:sz w:val="22"/>
        </w:rPr>
        <w:t>Two things bit me and are worth remembering for next time. First: declare numeric and string field types BEFORE the first index run, because schemaless mode silently locks them in as strings the moment you commit a row. Second: keep facet fields untokenized, otherwise 'Science Fiction' becomes two buckets in the sidebar.</w:t>
      </w:r>
    </w:p>
    <w:p>
      <w:r>
        <w:rPr>
          <w:b w:val="0"/>
          <w:i w:val="0"/>
          <w:sz w:val="22"/>
        </w:rPr>
        <w:t>All the source, the dataset, the PowerShell setup scripts and the screenshots used in this report are in the linked repo.</w:t>
      </w:r>
    </w:p>
    <w:p>
      <w:r>
        <w:rPr>
          <w:b w:val="0"/>
          <w:i w:val="0"/>
          <w:sz w:val="22"/>
        </w:rPr>
      </w:r>
    </w:p>
    <w:p>
      <w:r>
        <w:rPr>
          <w:b/>
          <w:i w:val="0"/>
          <w:sz w:val="22"/>
        </w:rPr>
        <w:t>GitHub repository: https://github.com/huzvert/solr-books-lab</w:t>
      </w:r>
    </w:p>
    <w:p>
      <w:r>
        <w:rPr>
          <w:b w:val="0"/>
          <w:i/>
          <w:sz w:val="22"/>
        </w:rPr>
        <w:t>(Repo retains its original 'solr-books-lab' name from the early commits; the project pivoted to a real Amazon-products dataset in later commits to remove all synthetic fields. All current code, docs and screenshots use the products schema.)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