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AML Research Assistant for US Banks</w:t>
      </w:r>
    </w:p>
    <w:p>
      <w:r>
        <w:t>Week 2 project plan | Prepared for Himani | October 16 2026</w:t>
      </w:r>
    </w:p>
    <w:p>
      <w:r>
        <w:t>Build a low-cost RAG application that helps a risk or compliance reviewer answer selected BSA/AML questions from official sources and prepare evidence requests. The first release covers a small, documented US banking corpus. Coverage expands only after source review and evaluation.</w:t>
      </w:r>
    </w:p>
    <w:p>
      <w:pPr>
        <w:pStyle w:val="Heading2"/>
      </w:pPr>
      <w:r>
        <w:t>Objective</w:t>
      </w:r>
    </w:p>
    <w:p>
      <w:r>
        <w:t>Demonstrate that retrieved regulatory evidence can support useful research while making source authority, applicability, dates and uncertainty visible. The portfolio contribution is your risk assessment methodology and measured failure analysis, alongside working retrieval and citations.</w:t>
      </w:r>
    </w:p>
    <w:p>
      <w:pPr>
        <w:pStyle w:val="Heading2"/>
      </w:pPr>
      <w:r>
        <w:t>What a user will do</w:t>
      </w:r>
    </w:p>
    <w:p>
      <w:pPr>
        <w:pStyle w:val="ListBullet"/>
      </w:pPr>
      <w:r>
        <w:t>Ask a question and provide the institution type and jurisdiction when needed.</w:t>
      </w:r>
    </w:p>
    <w:p>
      <w:pPr>
        <w:pStyle w:val="ListBullet"/>
      </w:pPr>
      <w:r>
        <w:t>Read a concise answer with source passages, section references, source type and snapshot date.</w:t>
      </w:r>
    </w:p>
    <w:p>
      <w:pPr>
        <w:pStyle w:val="ListBullet"/>
      </w:pPr>
      <w:r>
        <w:t>Request a draft checklist of evidence to examine. Clearly separate sourced criteria from proposed reviewer questions.</w:t>
      </w:r>
    </w:p>
    <w:p>
      <w:pPr>
        <w:pStyle w:val="Heading2"/>
      </w:pPr>
      <w:r>
        <w:t>Example</w:t>
      </w:r>
    </w:p>
    <w:p>
      <w:r>
        <w:t>Question: What evidence would you request when reviewing a US bank customer due diligence process? The assistant retrieves applicable material and drafts a checklist linking each sourced consideration to a passage. Reviewer suggestions are labeled. If the corpus cannot support an item, the assistant requests more information or states that evidence is insufficient.</w:t>
      </w:r>
    </w:p>
    <w:p>
      <w:pPr>
        <w:pStyle w:val="Heading2"/>
      </w:pPr>
      <w:r>
        <w:t>Initial topics</w:t>
      </w:r>
    </w:p>
    <w:p>
      <w:r>
        <w:t>Bank AML program governance, risk assessment, customer identification and customer due diligence. Add suspicious activity reporting research only after reviewing its current rules. Include the distinction between AML and sanctions; comprehensive sanctions screening is outside this release.</w:t>
      </w:r>
    </w:p>
    <w:p>
      <w:pPr>
        <w:pStyle w:val="Heading2"/>
      </w:pPr>
      <w:r>
        <w:t>Definition of success</w:t>
      </w:r>
    </w:p>
    <w:p>
      <w:r>
        <w:t>A working cited Q&amp;A interface, a useful evidence-request mode, 30 reviewed test cases, a retrieval comparison, a transparent cost log and a demo under five minutes. Targets are proposed on page 5; no performance has been measured yet.</w:t>
      </w:r>
    </w:p>
    <w:p>
      <w:r>
        <w:br w:type="page"/>
      </w:r>
    </w:p>
    <w:p>
      <w:pPr>
        <w:pStyle w:val="Heading1"/>
      </w:pPr>
      <w:r>
        <w:t>Regulatory coverage and boundaries</w:t>
      </w:r>
    </w:p>
    <w:p>
      <w:r>
        <w:t>The project covers RAG and selected AML research. It does not cover every regulator or every AML obligation. Agency awareness and substantive rule coverage are separate: naming an agency does not mean its entire rulebook has been indexed.</w:t>
      </w:r>
    </w:p>
    <w:tbl>
      <w:tblPr>
        <w:tblW w:type="auto" w:w="0"/>
        <w:tblLayout w:type="fixed"/>
        <w:tblLook w:firstColumn="1" w:firstRow="1" w:lastColumn="0" w:lastRow="0" w:noHBand="0" w:noVBand="1" w:val="04A0"/>
      </w:tblPr>
      <w:tblGrid>
        <w:gridCol w:w="2232"/>
        <w:gridCol w:w="4752"/>
        <w:gridCol w:w="2808"/>
      </w:tblGrid>
      <w:tr>
        <w:trPr>
          <w:tblHeader/>
          <w:cantSplit/>
          <w:cantSplit/>
          <w:cantSplit/>
        </w:trPr>
        <w:tc>
          <w:tcPr>
            <w:tcW w:type="dxa" w:w="2232"/>
            <w:tcBorders>
              <w:top w:val="single" w:sz="4" w:color="D9D9D9"/>
              <w:left w:val="single" w:sz="4" w:color="D9D9D9"/>
              <w:bottom w:val="single" w:sz="4" w:color="D9D9D9"/>
              <w:right w:val="single" w:sz="4" w:color="D9D9D9"/>
            </w:tcBorders>
            <w:shd w:fill="E7ECF0"/>
            <w:vAlign w:val="center"/>
          </w:tcPr>
          <w:p>
            <w:pPr>
              <w:spacing w:after="100" w:before="100"/>
            </w:pPr>
            <w:r>
              <w:rPr>
                <w:b/>
                <w:sz w:val="19"/>
              </w:rPr>
              <w:t>Body or source</w:t>
            </w:r>
          </w:p>
        </w:tc>
        <w:tc>
          <w:tcPr>
            <w:tcW w:type="dxa" w:w="4752"/>
            <w:tcBorders>
              <w:top w:val="single" w:sz="4" w:color="D9D9D9"/>
              <w:left w:val="single" w:sz="4" w:color="D9D9D9"/>
              <w:bottom w:val="single" w:sz="4" w:color="D9D9D9"/>
              <w:right w:val="single" w:sz="4" w:color="D9D9D9"/>
            </w:tcBorders>
            <w:shd w:fill="E7ECF0"/>
            <w:vAlign w:val="center"/>
          </w:tcPr>
          <w:p>
            <w:pPr>
              <w:spacing w:after="100" w:before="100"/>
            </w:pPr>
            <w:r>
              <w:rPr>
                <w:b/>
                <w:sz w:val="19"/>
              </w:rPr>
              <w:t>Role in this project</w:t>
            </w:r>
          </w:p>
        </w:tc>
        <w:tc>
          <w:tcPr>
            <w:tcW w:type="dxa" w:w="2808"/>
            <w:tcBorders>
              <w:top w:val="single" w:sz="4" w:color="D9D9D9"/>
              <w:left w:val="single" w:sz="4" w:color="D9D9D9"/>
              <w:bottom w:val="single" w:sz="4" w:color="D9D9D9"/>
              <w:right w:val="single" w:sz="4" w:color="D9D9D9"/>
            </w:tcBorders>
            <w:shd w:fill="E7ECF0"/>
            <w:vAlign w:val="center"/>
          </w:tcPr>
          <w:p>
            <w:pPr>
              <w:spacing w:after="100" w:before="100"/>
            </w:pPr>
            <w:r>
              <w:rPr>
                <w:b/>
                <w:sz w:val="19"/>
              </w:rPr>
              <w:t>Coverage</w:t>
            </w:r>
          </w:p>
        </w:tc>
      </w:tr>
      <w:tr>
        <w:trPr>
          <w:cantSplit/>
          <w:cantSplit/>
          <w:cantSplit/>
        </w:trPr>
        <w:tc>
          <w:tcPr>
            <w:tcW w:type="dxa" w:w="2232"/>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FinCEN</w:t>
            </w:r>
          </w:p>
        </w:tc>
        <w:tc>
          <w:tcPr>
            <w:tcW w:type="dxa" w:w="4752"/>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BSA administration and selected regulatory sources [1, 2].</w:t>
            </w:r>
          </w:p>
        </w:tc>
        <w:tc>
          <w:tcPr>
            <w:tcW w:type="dxa" w:w="2808"/>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Core source family</w:t>
            </w:r>
          </w:p>
        </w:tc>
      </w:tr>
      <w:tr>
        <w:trPr>
          <w:cantSplit/>
          <w:cantSplit/>
          <w:cantSplit/>
        </w:trPr>
        <w:tc>
          <w:tcPr>
            <w:tcW w:type="dxa" w:w="2232"/>
            <w:tcBorders>
              <w:top w:val="single" w:sz="4" w:color="D9D9D9"/>
              <w:left w:val="single" w:sz="4" w:color="D9D9D9"/>
              <w:bottom w:val="single" w:sz="4" w:color="D9D9D9"/>
              <w:right w:val="single" w:sz="4" w:color="D9D9D9"/>
            </w:tcBorders>
            <w:shd w:fill="F5F6F7"/>
            <w:vAlign w:val="center"/>
          </w:tcPr>
          <w:p>
            <w:pPr>
              <w:spacing w:after="100" w:before="100"/>
            </w:pPr>
            <w:r>
              <w:rPr>
                <w:b w:val="0"/>
                <w:sz w:val="19"/>
              </w:rPr>
              <w:t>OCC, Federal Reserve and FDIC</w:t>
            </w:r>
          </w:p>
        </w:tc>
        <w:tc>
          <w:tcPr>
            <w:tcW w:type="dxa" w:w="4752"/>
            <w:tcBorders>
              <w:top w:val="single" w:sz="4" w:color="D9D9D9"/>
              <w:left w:val="single" w:sz="4" w:color="D9D9D9"/>
              <w:bottom w:val="single" w:sz="4" w:color="D9D9D9"/>
              <w:right w:val="single" w:sz="4" w:color="D9D9D9"/>
            </w:tcBorders>
            <w:shd w:fill="F5F6F7"/>
            <w:vAlign w:val="center"/>
          </w:tcPr>
          <w:p>
            <w:pPr>
              <w:spacing w:after="100" w:before="100"/>
            </w:pPr>
            <w:r>
              <w:rPr>
                <w:b w:val="0"/>
                <w:sz w:val="19"/>
              </w:rPr>
              <w:t>Federal bank supervisors. Relevant supervisor depends on the institution [3].</w:t>
            </w:r>
          </w:p>
        </w:tc>
        <w:tc>
          <w:tcPr>
            <w:tcW w:type="dxa" w:w="2808"/>
            <w:tcBorders>
              <w:top w:val="single" w:sz="4" w:color="D9D9D9"/>
              <w:left w:val="single" w:sz="4" w:color="D9D9D9"/>
              <w:bottom w:val="single" w:sz="4" w:color="D9D9D9"/>
              <w:right w:val="single" w:sz="4" w:color="D9D9D9"/>
            </w:tcBorders>
            <w:shd w:fill="F5F6F7"/>
            <w:vAlign w:val="center"/>
          </w:tcPr>
          <w:p>
            <w:pPr>
              <w:spacing w:after="100" w:before="100"/>
            </w:pPr>
            <w:r>
              <w:rPr>
                <w:b w:val="0"/>
                <w:sz w:val="19"/>
              </w:rPr>
              <w:t>Role map; selected bank material</w:t>
            </w:r>
          </w:p>
        </w:tc>
      </w:tr>
      <w:tr>
        <w:trPr>
          <w:cantSplit/>
          <w:cantSplit/>
          <w:cantSplit/>
        </w:trPr>
        <w:tc>
          <w:tcPr>
            <w:tcW w:type="dxa" w:w="2232"/>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NCUA and state supervisors</w:t>
            </w:r>
          </w:p>
        </w:tc>
        <w:tc>
          <w:tcPr>
            <w:tcW w:type="dxa" w:w="4752"/>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Relevant adjacent supervisory authorities [3].</w:t>
            </w:r>
          </w:p>
        </w:tc>
        <w:tc>
          <w:tcPr>
            <w:tcW w:type="dxa" w:w="2808"/>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Context; credit union and state-specific rules deferred</w:t>
            </w:r>
          </w:p>
        </w:tc>
      </w:tr>
      <w:tr>
        <w:trPr>
          <w:cantSplit/>
          <w:cantSplit/>
          <w:cantSplit/>
        </w:trPr>
        <w:tc>
          <w:tcPr>
            <w:tcW w:type="dxa" w:w="2232"/>
            <w:tcBorders>
              <w:top w:val="single" w:sz="4" w:color="D9D9D9"/>
              <w:left w:val="single" w:sz="4" w:color="D9D9D9"/>
              <w:bottom w:val="single" w:sz="4" w:color="D9D9D9"/>
              <w:right w:val="single" w:sz="4" w:color="D9D9D9"/>
            </w:tcBorders>
            <w:shd w:fill="F5F6F7"/>
            <w:vAlign w:val="center"/>
          </w:tcPr>
          <w:p>
            <w:pPr>
              <w:spacing w:after="100" w:before="100"/>
            </w:pPr>
            <w:r>
              <w:rPr>
                <w:b w:val="0"/>
                <w:sz w:val="19"/>
              </w:rPr>
              <w:t>FFIEC</w:t>
            </w:r>
          </w:p>
        </w:tc>
        <w:tc>
          <w:tcPr>
            <w:tcW w:type="dxa" w:w="4752"/>
            <w:tcBorders>
              <w:top w:val="single" w:sz="4" w:color="D9D9D9"/>
              <w:left w:val="single" w:sz="4" w:color="D9D9D9"/>
              <w:bottom w:val="single" w:sz="4" w:color="D9D9D9"/>
              <w:right w:val="single" w:sz="4" w:color="D9D9D9"/>
            </w:tcBorders>
            <w:shd w:fill="F5F6F7"/>
            <w:vAlign w:val="center"/>
          </w:tcPr>
          <w:p>
            <w:pPr>
              <w:spacing w:after="100" w:before="100"/>
            </w:pPr>
            <w:r>
              <w:rPr>
                <w:b w:val="0"/>
                <w:sz w:val="19"/>
              </w:rPr>
              <w:t>Interagency examination guidance and procedures [3, 4].</w:t>
            </w:r>
          </w:p>
        </w:tc>
        <w:tc>
          <w:tcPr>
            <w:tcW w:type="dxa" w:w="2808"/>
            <w:tcBorders>
              <w:top w:val="single" w:sz="4" w:color="D9D9D9"/>
              <w:left w:val="single" w:sz="4" w:color="D9D9D9"/>
              <w:bottom w:val="single" w:sz="4" w:color="D9D9D9"/>
              <w:right w:val="single" w:sz="4" w:color="D9D9D9"/>
            </w:tcBorders>
            <w:shd w:fill="F5F6F7"/>
            <w:vAlign w:val="center"/>
          </w:tcPr>
          <w:p>
            <w:pPr>
              <w:spacing w:after="100" w:before="100"/>
            </w:pPr>
            <w:r>
              <w:rPr>
                <w:b w:val="0"/>
                <w:sz w:val="19"/>
              </w:rPr>
              <w:t>Core reference; distinct from law</w:t>
            </w:r>
          </w:p>
        </w:tc>
      </w:tr>
      <w:tr>
        <w:trPr>
          <w:cantSplit/>
          <w:cantSplit/>
          <w:cantSplit/>
        </w:trPr>
        <w:tc>
          <w:tcPr>
            <w:tcW w:type="dxa" w:w="2232"/>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OFAC</w:t>
            </w:r>
          </w:p>
        </w:tc>
        <w:tc>
          <w:tcPr>
            <w:tcW w:type="dxa" w:w="4752"/>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US sanctions administration, separate from the BSA [3, 7].</w:t>
            </w:r>
          </w:p>
        </w:tc>
        <w:tc>
          <w:tcPr>
            <w:tcW w:type="dxa" w:w="2808"/>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Boundary explanation and selected framework</w:t>
            </w:r>
          </w:p>
        </w:tc>
      </w:tr>
      <w:tr>
        <w:trPr>
          <w:cantSplit/>
          <w:cantSplit/>
          <w:cantSplit/>
        </w:trPr>
        <w:tc>
          <w:tcPr>
            <w:tcW w:type="dxa" w:w="2232"/>
            <w:tcBorders>
              <w:top w:val="single" w:sz="4" w:color="D9D9D9"/>
              <w:left w:val="single" w:sz="4" w:color="D9D9D9"/>
              <w:bottom w:val="single" w:sz="4" w:color="D9D9D9"/>
              <w:right w:val="single" w:sz="4" w:color="D9D9D9"/>
            </w:tcBorders>
            <w:shd w:fill="F5F6F7"/>
            <w:vAlign w:val="center"/>
          </w:tcPr>
          <w:p>
            <w:pPr>
              <w:spacing w:after="100" w:before="100"/>
            </w:pPr>
            <w:r>
              <w:rPr>
                <w:b w:val="0"/>
                <w:sz w:val="19"/>
              </w:rPr>
              <w:t>FATF</w:t>
            </w:r>
          </w:p>
        </w:tc>
        <w:tc>
          <w:tcPr>
            <w:tcW w:type="dxa" w:w="4752"/>
            <w:tcBorders>
              <w:top w:val="single" w:sz="4" w:color="D9D9D9"/>
              <w:left w:val="single" w:sz="4" w:color="D9D9D9"/>
              <w:bottom w:val="single" w:sz="4" w:color="D9D9D9"/>
              <w:right w:val="single" w:sz="4" w:color="D9D9D9"/>
            </w:tcBorders>
            <w:shd w:fill="F5F6F7"/>
            <w:vAlign w:val="center"/>
          </w:tcPr>
          <w:p>
            <w:pPr>
              <w:spacing w:after="100" w:before="100"/>
            </w:pPr>
            <w:r>
              <w:rPr>
                <w:b w:val="0"/>
                <w:sz w:val="19"/>
              </w:rPr>
              <w:t>International standards implemented through jurisdiction-specific measures [8].</w:t>
            </w:r>
          </w:p>
        </w:tc>
        <w:tc>
          <w:tcPr>
            <w:tcW w:type="dxa" w:w="2808"/>
            <w:tcBorders>
              <w:top w:val="single" w:sz="4" w:color="D9D9D9"/>
              <w:left w:val="single" w:sz="4" w:color="D9D9D9"/>
              <w:bottom w:val="single" w:sz="4" w:color="D9D9D9"/>
              <w:right w:val="single" w:sz="4" w:color="D9D9D9"/>
            </w:tcBorders>
            <w:shd w:fill="F5F6F7"/>
            <w:vAlign w:val="center"/>
          </w:tcPr>
          <w:p>
            <w:pPr>
              <w:spacing w:after="100" w:before="100"/>
            </w:pPr>
            <w:r>
              <w:rPr>
                <w:b w:val="0"/>
                <w:sz w:val="19"/>
              </w:rPr>
              <w:t>Context; not automatically US law</w:t>
            </w:r>
          </w:p>
        </w:tc>
      </w:tr>
    </w:tbl>
    <w:p/>
    <w:p>
      <w:pPr>
        <w:pStyle w:val="Heading2"/>
      </w:pPr>
      <w:r>
        <w:t>Source authority must stay visible</w:t>
      </w:r>
    </w:p>
    <w:p>
      <w:r>
        <w:t>Separate effective regulations, guidance, examination procedures, international standards and reviewer suggestions. Proposed rules, dated pages, exceptions and relief require explicit review. If sources conflict or currency is unclear, show the limitation and escalate for review.</w:t>
      </w:r>
    </w:p>
    <w:p>
      <w:pPr>
        <w:pStyle w:val="Heading2"/>
      </w:pPr>
      <w:r>
        <w:t>Excluded from the first release</w:t>
      </w:r>
    </w:p>
    <w:p>
      <w:r>
        <w:t>Global legal coverage; complete state rules; securities-sector SEC/FINRA obligations; money services businesses; real customer records; suspicious activity report filing; live sanctions lists; legal opinions; and automatic judgments that an institution is compliant. These can become separate, evaluated extensions.</w:t>
      </w:r>
    </w:p>
    <w:p>
      <w:pPr>
        <w:pStyle w:val="Heading2"/>
      </w:pPr>
      <w:r>
        <w:t>Your role</w:t>
      </w:r>
    </w:p>
    <w:p>
      <w:r>
        <w:t>Select relevant review scenarios, approve source applicability, review expected answers, assess the materiality of errors, and explain what further evidence a risk professional would need.</w:t>
      </w:r>
    </w:p>
    <w:p>
      <w:r>
        <w:br w:type="page"/>
      </w:r>
    </w:p>
    <w:p>
      <w:pPr>
        <w:pStyle w:val="Heading1"/>
      </w:pPr>
      <w:r>
        <w:t>Sources and the RAG workflow</w:t>
      </w:r>
    </w:p>
    <w:p>
      <w:pPr>
        <w:pStyle w:val="Heading2"/>
      </w:pPr>
      <w:r>
        <w:t>A small reviewed corpus</w:t>
      </w:r>
    </w:p>
    <w:p>
      <w:r>
        <w:t>Start with 8 to 12 topic sections from official sources, not the entire internet. The registry includes FinCEN, eCFR bank rules, selected FFIEC sections, an OFAC framework gateway and FATF context. These are candidate sources; their contents are not yet approved or ingested.</w:t>
      </w:r>
    </w:p>
    <w:p>
      <w:pPr>
        <w:pStyle w:val="Heading2"/>
      </w:pPr>
      <w:r>
        <w:t>Source review before ingestion</w:t>
      </w:r>
    </w:p>
    <w:p>
      <w:r>
        <w:t>For each section record issuer, authority type, jurisdiction, institution scope, publication and effective dates where available, retrieval time, exact URL and a content hash. Check current amendments and applicable relief. Review linked material where a page is only a gateway. Exclude navigation and unrelated sections.</w:t>
      </w:r>
    </w:p>
    <w:p>
      <w:pPr>
        <w:pStyle w:val="Heading2"/>
      </w:pPr>
      <w:r>
        <w:t>How one question moves through the system</w:t>
      </w:r>
    </w:p>
    <w:p>
      <w:r>
        <w:t>1. Establish scope. Default visibly to US banks; clarify questions about other institutions, countries or dates.</w:t>
      </w:r>
    </w:p>
    <w:p>
      <w:r>
        <w:t>2. Retrieve evidence. Search only reviewed sources and filter by scope, source type and version.</w:t>
      </w:r>
    </w:p>
    <w:p>
      <w:r>
        <w:t>3. Assemble context. Supply a compact set of passages with stable source IDs and section locators. Treat source text as evidence, not instructions.</w:t>
      </w:r>
    </w:p>
    <w:p>
      <w:r>
        <w:t>4. Generate the response. State the supported answer, citations, limitations and any follow-up question. Label checklist recommendations separately.</w:t>
      </w:r>
    </w:p>
    <w:p>
      <w:r>
        <w:t>5. Validate structure. Check that every cited ID exists and that cited excerpts correspond to stored source text. These checks do not prove the interpretation is correct.</w:t>
      </w:r>
    </w:p>
    <w:p>
      <w:r>
        <w:t>6. Record the run. Log retrieved IDs, configuration, token use, latency and reviewer feedback without storing credentials.</w:t>
      </w:r>
    </w:p>
    <w:p>
      <w:pPr>
        <w:pStyle w:val="Heading2"/>
      </w:pPr>
      <w:r>
        <w:t>Week 2 concepts we will demonstrate</w:t>
      </w:r>
    </w:p>
    <w:p>
      <w:r>
        <w:t>Section-aware chunking and metadata; dense and keyword search; compact context construction; grounded answers; clarification and abstention; retrieval evaluation separate from generation. Start around 600 tokens per chunk with 80-token overlap and tune on development cases. Retrieve 12 candidates and supply up to 5 passages as an initial configuration.</w:t>
      </w:r>
    </w:p>
    <w:p>
      <w:pPr>
        <w:pStyle w:val="Heading2"/>
      </w:pPr>
      <w:r>
        <w:t>Bounded extensions</w:t>
      </w:r>
    </w:p>
    <w:p>
      <w:r>
        <w:t>Compare dense retrieval against dense plus BM25 using rank fusion. Add reranking only if errors justify it. A single additional retrieval attempt is a stretch feature. Persistent memory, GraphRAG and open-ended agent loops are deferred until a measured need exists.</w:t>
      </w:r>
    </w:p>
    <w:p>
      <w:r>
        <w:br w:type="page"/>
      </w:r>
    </w:p>
    <w:p>
      <w:pPr>
        <w:pStyle w:val="Heading1"/>
      </w:pPr>
      <w:r>
        <w:t>Tools and implementation steps</w:t>
      </w:r>
    </w:p>
    <w:tbl>
      <w:tblPr>
        <w:tblW w:type="auto" w:w="0"/>
        <w:tblLayout w:type="fixed"/>
        <w:tblLook w:firstColumn="1" w:firstRow="1" w:lastColumn="0" w:lastRow="0" w:noHBand="0" w:noVBand="1" w:val="04A0"/>
      </w:tblPr>
      <w:tblGrid>
        <w:gridCol w:w="2376"/>
        <w:gridCol w:w="7416"/>
      </w:tblGrid>
      <w:tr>
        <w:trPr>
          <w:tblHeader/>
          <w:cantSplit/>
          <w:cantSplit/>
        </w:trPr>
        <w:tc>
          <w:tcPr>
            <w:tcW w:type="dxa" w:w="2376"/>
            <w:tcBorders>
              <w:top w:val="single" w:sz="4" w:color="D9D9D9"/>
              <w:left w:val="single" w:sz="4" w:color="D9D9D9"/>
              <w:bottom w:val="single" w:sz="4" w:color="D9D9D9"/>
              <w:right w:val="single" w:sz="4" w:color="D9D9D9"/>
            </w:tcBorders>
            <w:shd w:fill="E7ECF0"/>
            <w:vAlign w:val="center"/>
          </w:tcPr>
          <w:p>
            <w:pPr>
              <w:spacing w:after="100" w:before="100"/>
            </w:pPr>
            <w:r>
              <w:rPr>
                <w:b/>
                <w:sz w:val="19"/>
              </w:rPr>
              <w:t>Tool</w:t>
            </w:r>
          </w:p>
        </w:tc>
        <w:tc>
          <w:tcPr>
            <w:tcW w:type="dxa" w:w="7416"/>
            <w:tcBorders>
              <w:top w:val="single" w:sz="4" w:color="D9D9D9"/>
              <w:left w:val="single" w:sz="4" w:color="D9D9D9"/>
              <w:bottom w:val="single" w:sz="4" w:color="D9D9D9"/>
              <w:right w:val="single" w:sz="4" w:color="D9D9D9"/>
            </w:tcBorders>
            <w:shd w:fill="E7ECF0"/>
            <w:vAlign w:val="center"/>
          </w:tcPr>
          <w:p>
            <w:pPr>
              <w:spacing w:after="100" w:before="100"/>
            </w:pPr>
            <w:r>
              <w:rPr>
                <w:b/>
                <w:sz w:val="19"/>
              </w:rPr>
              <w:t>Planned purpose</w:t>
            </w:r>
          </w:p>
        </w:tc>
      </w:tr>
      <w:tr>
        <w:trPr>
          <w:cantSplit/>
          <w:cantSplit/>
        </w:trPr>
        <w:tc>
          <w:tcPr>
            <w:tcW w:type="dxa" w:w="2376"/>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Python and LangChain</w:t>
            </w:r>
          </w:p>
        </w:tc>
        <w:tc>
          <w:tcPr>
            <w:tcW w:type="dxa" w:w="7416"/>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Document processing, retrieval orchestration and structured answers.</w:t>
            </w:r>
          </w:p>
        </w:tc>
      </w:tr>
      <w:tr>
        <w:trPr>
          <w:cantSplit/>
          <w:cantSplit/>
        </w:trPr>
        <w:tc>
          <w:tcPr>
            <w:tcW w:type="dxa" w:w="2376"/>
            <w:tcBorders>
              <w:top w:val="single" w:sz="4" w:color="D9D9D9"/>
              <w:left w:val="single" w:sz="4" w:color="D9D9D9"/>
              <w:bottom w:val="single" w:sz="4" w:color="D9D9D9"/>
              <w:right w:val="single" w:sz="4" w:color="D9D9D9"/>
            </w:tcBorders>
            <w:shd w:fill="F5F6F7"/>
            <w:vAlign w:val="center"/>
          </w:tcPr>
          <w:p>
            <w:pPr>
              <w:spacing w:after="100" w:before="100"/>
            </w:pPr>
            <w:r>
              <w:rPr>
                <w:b w:val="0"/>
                <w:sz w:val="19"/>
              </w:rPr>
              <w:t>Nebius</w:t>
            </w:r>
          </w:p>
        </w:tc>
        <w:tc>
          <w:tcPr>
            <w:tcW w:type="dxa" w:w="7416"/>
            <w:tcBorders>
              <w:top w:val="single" w:sz="4" w:color="D9D9D9"/>
              <w:left w:val="single" w:sz="4" w:color="D9D9D9"/>
              <w:bottom w:val="single" w:sz="4" w:color="D9D9D9"/>
              <w:right w:val="single" w:sz="4" w:color="D9D9D9"/>
            </w:tcBorders>
            <w:shd w:fill="F5F6F7"/>
            <w:vAlign w:val="center"/>
          </w:tcPr>
          <w:p>
            <w:pPr>
              <w:spacing w:after="100" w:before="100"/>
            </w:pPr>
            <w:r>
              <w:rPr>
                <w:b w:val="0"/>
                <w:sz w:val="19"/>
              </w:rPr>
              <w:t>Embeddings and generation after confirming available model access and credit eligibility.</w:t>
            </w:r>
          </w:p>
        </w:tc>
      </w:tr>
      <w:tr>
        <w:trPr>
          <w:cantSplit/>
          <w:cantSplit/>
        </w:trPr>
        <w:tc>
          <w:tcPr>
            <w:tcW w:type="dxa" w:w="2376"/>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Pinecone or local index</w:t>
            </w:r>
          </w:p>
        </w:tc>
        <w:tc>
          <w:tcPr>
            <w:tcW w:type="dxa" w:w="7416"/>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Vector retrieval. Use Pinecone if credits cover it; retain a local fallback.</w:t>
            </w:r>
          </w:p>
        </w:tc>
      </w:tr>
      <w:tr>
        <w:trPr>
          <w:cantSplit/>
          <w:cantSplit/>
        </w:trPr>
        <w:tc>
          <w:tcPr>
            <w:tcW w:type="dxa" w:w="2376"/>
            <w:tcBorders>
              <w:top w:val="single" w:sz="4" w:color="D9D9D9"/>
              <w:left w:val="single" w:sz="4" w:color="D9D9D9"/>
              <w:bottom w:val="single" w:sz="4" w:color="D9D9D9"/>
              <w:right w:val="single" w:sz="4" w:color="D9D9D9"/>
            </w:tcBorders>
            <w:shd w:fill="F5F6F7"/>
            <w:vAlign w:val="center"/>
          </w:tcPr>
          <w:p>
            <w:pPr>
              <w:spacing w:after="100" w:before="100"/>
            </w:pPr>
            <w:r>
              <w:rPr>
                <w:b w:val="0"/>
                <w:sz w:val="19"/>
              </w:rPr>
              <w:t>BM25</w:t>
            </w:r>
          </w:p>
        </w:tc>
        <w:tc>
          <w:tcPr>
            <w:tcW w:type="dxa" w:w="7416"/>
            <w:tcBorders>
              <w:top w:val="single" w:sz="4" w:color="D9D9D9"/>
              <w:left w:val="single" w:sz="4" w:color="D9D9D9"/>
              <w:bottom w:val="single" w:sz="4" w:color="D9D9D9"/>
              <w:right w:val="single" w:sz="4" w:color="D9D9D9"/>
            </w:tcBorders>
            <w:shd w:fill="F5F6F7"/>
            <w:vAlign w:val="center"/>
          </w:tcPr>
          <w:p>
            <w:pPr>
              <w:spacing w:after="100" w:before="100"/>
            </w:pPr>
            <w:r>
              <w:rPr>
                <w:b w:val="0"/>
                <w:sz w:val="19"/>
              </w:rPr>
              <w:t>Keyword retrieval to test exact terms and section identifiers.</w:t>
            </w:r>
          </w:p>
        </w:tc>
      </w:tr>
      <w:tr>
        <w:trPr>
          <w:cantSplit/>
          <w:cantSplit/>
        </w:trPr>
        <w:tc>
          <w:tcPr>
            <w:tcW w:type="dxa" w:w="2376"/>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LangSmith</w:t>
            </w:r>
          </w:p>
        </w:tc>
        <w:tc>
          <w:tcPr>
            <w:tcW w:type="dxa" w:w="7416"/>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Trace selected development runs and compare evaluation experiments.</w:t>
            </w:r>
          </w:p>
        </w:tc>
      </w:tr>
      <w:tr>
        <w:trPr>
          <w:cantSplit/>
          <w:cantSplit/>
        </w:trPr>
        <w:tc>
          <w:tcPr>
            <w:tcW w:type="dxa" w:w="2376"/>
            <w:tcBorders>
              <w:top w:val="single" w:sz="4" w:color="D9D9D9"/>
              <w:left w:val="single" w:sz="4" w:color="D9D9D9"/>
              <w:bottom w:val="single" w:sz="4" w:color="D9D9D9"/>
              <w:right w:val="single" w:sz="4" w:color="D9D9D9"/>
            </w:tcBorders>
            <w:shd w:fill="F5F6F7"/>
            <w:vAlign w:val="center"/>
          </w:tcPr>
          <w:p>
            <w:pPr>
              <w:spacing w:after="100" w:before="100"/>
            </w:pPr>
            <w:r>
              <w:rPr>
                <w:b w:val="0"/>
                <w:sz w:val="19"/>
              </w:rPr>
              <w:t>Simple web interface</w:t>
            </w:r>
          </w:p>
        </w:tc>
        <w:tc>
          <w:tcPr>
            <w:tcW w:type="dxa" w:w="7416"/>
            <w:tcBorders>
              <w:top w:val="single" w:sz="4" w:color="D9D9D9"/>
              <w:left w:val="single" w:sz="4" w:color="D9D9D9"/>
              <w:bottom w:val="single" w:sz="4" w:color="D9D9D9"/>
              <w:right w:val="single" w:sz="4" w:color="D9D9D9"/>
            </w:tcBorders>
            <w:shd w:fill="F5F6F7"/>
            <w:vAlign w:val="center"/>
          </w:tcPr>
          <w:p>
            <w:pPr>
              <w:spacing w:after="100" w:before="100"/>
            </w:pPr>
            <w:r>
              <w:rPr>
                <w:b w:val="0"/>
                <w:sz w:val="19"/>
              </w:rPr>
              <w:t>Question input, cited evidence and checklist mode; host with Replit only within budget.</w:t>
            </w:r>
          </w:p>
        </w:tc>
      </w:tr>
      <w:tr>
        <w:trPr>
          <w:cantSplit/>
          <w:cantSplit/>
        </w:trPr>
        <w:tc>
          <w:tcPr>
            <w:tcW w:type="dxa" w:w="2376"/>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GitHub</w:t>
            </w:r>
          </w:p>
        </w:tc>
        <w:tc>
          <w:tcPr>
            <w:tcW w:type="dxa" w:w="7416"/>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Code, source registry, evaluation protocol, results and demo instructions.</w:t>
            </w:r>
          </w:p>
        </w:tc>
      </w:tr>
    </w:tbl>
    <w:p/>
    <w:p>
      <w:pPr>
        <w:pStyle w:val="Heading2"/>
      </w:pPr>
      <w:r>
        <w:t>Build sequence</w:t>
      </w:r>
    </w:p>
    <w:p>
      <w:r>
        <w:t>1. Approve corpus and scope. Select sections, review source currency and capture a dated snapshot. Output: reviewed source registry.</w:t>
      </w:r>
    </w:p>
    <w:p>
      <w:r>
        <w:t>2. Define evaluation. Expand the 12 starter questions to 30 and write expected behavior with supporting passages before tuning. Output: development and held-out cases.</w:t>
      </w:r>
    </w:p>
    <w:p>
      <w:r>
        <w:t>3. Ingest and index. Clean text, preserve headings and exceptions, chunk and embed once. Output: searchable corpus with source IDs.</w:t>
      </w:r>
    </w:p>
    <w:p>
      <w:r>
        <w:t>4. Build the baseline. Implement dense retrieval, cited answers and abstention. Output: end-to-end local interface.</w:t>
      </w:r>
    </w:p>
    <w:p>
      <w:r>
        <w:t>5. Improve retrieval. Add BM25 fusion and compare on the same cases. Freeze the configuration before held-out evaluation.</w:t>
      </w:r>
    </w:p>
    <w:p>
      <w:r>
        <w:t>6. Add evidence requests. Generate a structured checklist with criterion, supporting source, suggested evidence and reviewer question.</w:t>
      </w:r>
    </w:p>
    <w:p>
      <w:r>
        <w:t>7. Evaluate and package. Review failures, measure cost, document limitations and record the demo.</w:t>
      </w:r>
    </w:p>
    <w:p>
      <w:pPr>
        <w:pStyle w:val="Heading2"/>
      </w:pPr>
      <w:r>
        <w:t>Milestones toward the course deadline</w:t>
      </w:r>
    </w:p>
    <w:p>
      <w:r>
        <w:t>Friday October 16: source review, expected answers and ingestion. Saturday October 17: baseline, hybrid comparison and interface. Sunday October 18: held-out evaluation, report and recording. The course handout lists October 18 at 11:59 p.m. PT for Builder of the Week consideration. Protect the baseline and evaluation if stretch features slip.</w:t>
      </w:r>
    </w:p>
    <w:p>
      <w:r>
        <w:br w:type="page"/>
      </w:r>
    </w:p>
    <w:p>
      <w:pPr>
        <w:pStyle w:val="Heading1"/>
      </w:pPr>
      <w:r>
        <w:t>Evaluation and cost controls</w:t>
      </w:r>
    </w:p>
    <w:p>
      <w:pPr>
        <w:pStyle w:val="Heading2"/>
      </w:pPr>
      <w:r>
        <w:t>Evaluation design</w:t>
      </w:r>
    </w:p>
    <w:p>
      <w:r>
        <w:t>Use 18 development cases and 12 held-out cases. Include direct lookups, multi-source questions, applicability, authority distinctions, missing context, stale-source traps, unsupported conclusions and prompt injection. Do not index expected answers. Held-out results guide the report, not another tuning cycle.</w:t>
      </w:r>
    </w:p>
    <w:tbl>
      <w:tblPr>
        <w:tblW w:type="auto" w:w="0"/>
        <w:tblLayout w:type="fixed"/>
        <w:tblLook w:firstColumn="1" w:firstRow="1" w:lastColumn="0" w:lastRow="0" w:noHBand="0" w:noVBand="1" w:val="04A0"/>
      </w:tblPr>
      <w:tblGrid>
        <w:gridCol w:w="2088"/>
        <w:gridCol w:w="5616"/>
        <w:gridCol w:w="2088"/>
      </w:tblGrid>
      <w:tr>
        <w:trPr>
          <w:tblHeader/>
          <w:cantSplit/>
          <w:cantSplit/>
          <w:cantSplit/>
        </w:trPr>
        <w:tc>
          <w:tcPr>
            <w:tcW w:type="dxa" w:w="2088"/>
            <w:tcBorders>
              <w:top w:val="single" w:sz="4" w:color="D9D9D9"/>
              <w:left w:val="single" w:sz="4" w:color="D9D9D9"/>
              <w:bottom w:val="single" w:sz="4" w:color="D9D9D9"/>
              <w:right w:val="single" w:sz="4" w:color="D9D9D9"/>
            </w:tcBorders>
            <w:shd w:fill="E7ECF0"/>
            <w:vAlign w:val="center"/>
          </w:tcPr>
          <w:p>
            <w:pPr>
              <w:spacing w:after="100" w:before="100"/>
            </w:pPr>
            <w:r>
              <w:rPr>
                <w:b/>
                <w:sz w:val="19"/>
              </w:rPr>
              <w:t>Measure</w:t>
            </w:r>
          </w:p>
        </w:tc>
        <w:tc>
          <w:tcPr>
            <w:tcW w:type="dxa" w:w="5616"/>
            <w:tcBorders>
              <w:top w:val="single" w:sz="4" w:color="D9D9D9"/>
              <w:left w:val="single" w:sz="4" w:color="D9D9D9"/>
              <w:bottom w:val="single" w:sz="4" w:color="D9D9D9"/>
              <w:right w:val="single" w:sz="4" w:color="D9D9D9"/>
            </w:tcBorders>
            <w:shd w:fill="E7ECF0"/>
            <w:vAlign w:val="center"/>
          </w:tcPr>
          <w:p>
            <w:pPr>
              <w:spacing w:after="100" w:before="100"/>
            </w:pPr>
            <w:r>
              <w:rPr>
                <w:b/>
                <w:sz w:val="19"/>
              </w:rPr>
              <w:t>Definition</w:t>
            </w:r>
          </w:p>
        </w:tc>
        <w:tc>
          <w:tcPr>
            <w:tcW w:type="dxa" w:w="2088"/>
            <w:tcBorders>
              <w:top w:val="single" w:sz="4" w:color="D9D9D9"/>
              <w:left w:val="single" w:sz="4" w:color="D9D9D9"/>
              <w:bottom w:val="single" w:sz="4" w:color="D9D9D9"/>
              <w:right w:val="single" w:sz="4" w:color="D9D9D9"/>
            </w:tcBorders>
            <w:shd w:fill="E7ECF0"/>
            <w:vAlign w:val="center"/>
          </w:tcPr>
          <w:p>
            <w:pPr>
              <w:spacing w:after="100" w:before="100"/>
            </w:pPr>
            <w:r>
              <w:rPr>
                <w:b/>
                <w:sz w:val="19"/>
              </w:rPr>
              <w:t>Proposed target</w:t>
            </w:r>
          </w:p>
        </w:tc>
      </w:tr>
      <w:tr>
        <w:trPr>
          <w:cantSplit/>
          <w:cantSplit/>
          <w:cantSplit/>
        </w:trPr>
        <w:tc>
          <w:tcPr>
            <w:tcW w:type="dxa" w:w="2088"/>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Evidence retrieval</w:t>
            </w:r>
          </w:p>
        </w:tc>
        <w:tc>
          <w:tcPr>
            <w:tcW w:type="dxa" w:w="5616"/>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Answerable cases where required evidence appears in the top 5.</w:t>
            </w:r>
          </w:p>
        </w:tc>
        <w:tc>
          <w:tcPr>
            <w:tcW w:type="dxa" w:w="2088"/>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At least 90%</w:t>
            </w:r>
          </w:p>
        </w:tc>
      </w:tr>
      <w:tr>
        <w:trPr>
          <w:cantSplit/>
          <w:cantSplit/>
          <w:cantSplit/>
        </w:trPr>
        <w:tc>
          <w:tcPr>
            <w:tcW w:type="dxa" w:w="2088"/>
            <w:tcBorders>
              <w:top w:val="single" w:sz="4" w:color="D9D9D9"/>
              <w:left w:val="single" w:sz="4" w:color="D9D9D9"/>
              <w:bottom w:val="single" w:sz="4" w:color="D9D9D9"/>
              <w:right w:val="single" w:sz="4" w:color="D9D9D9"/>
            </w:tcBorders>
            <w:shd w:fill="F5F6F7"/>
            <w:vAlign w:val="center"/>
          </w:tcPr>
          <w:p>
            <w:pPr>
              <w:spacing w:after="100" w:before="100"/>
            </w:pPr>
            <w:r>
              <w:rPr>
                <w:b w:val="0"/>
                <w:sz w:val="19"/>
              </w:rPr>
              <w:t>Claim support</w:t>
            </w:r>
          </w:p>
        </w:tc>
        <w:tc>
          <w:tcPr>
            <w:tcW w:type="dxa" w:w="5616"/>
            <w:tcBorders>
              <w:top w:val="single" w:sz="4" w:color="D9D9D9"/>
              <w:left w:val="single" w:sz="4" w:color="D9D9D9"/>
              <w:bottom w:val="single" w:sz="4" w:color="D9D9D9"/>
              <w:right w:val="single" w:sz="4" w:color="D9D9D9"/>
            </w:tcBorders>
            <w:shd w:fill="F5F6F7"/>
            <w:vAlign w:val="center"/>
          </w:tcPr>
          <w:p>
            <w:pPr>
              <w:spacing w:after="100" w:before="100"/>
            </w:pPr>
            <w:r>
              <w:rPr>
                <w:b w:val="0"/>
                <w:sz w:val="19"/>
              </w:rPr>
              <w:t>Reviewed factual or normative claims supported by cited passages.</w:t>
            </w:r>
          </w:p>
        </w:tc>
        <w:tc>
          <w:tcPr>
            <w:tcW w:type="dxa" w:w="2088"/>
            <w:tcBorders>
              <w:top w:val="single" w:sz="4" w:color="D9D9D9"/>
              <w:left w:val="single" w:sz="4" w:color="D9D9D9"/>
              <w:bottom w:val="single" w:sz="4" w:color="D9D9D9"/>
              <w:right w:val="single" w:sz="4" w:color="D9D9D9"/>
            </w:tcBorders>
            <w:shd w:fill="F5F6F7"/>
            <w:vAlign w:val="center"/>
          </w:tcPr>
          <w:p>
            <w:pPr>
              <w:spacing w:after="100" w:before="100"/>
            </w:pPr>
            <w:r>
              <w:rPr>
                <w:b w:val="0"/>
                <w:sz w:val="19"/>
              </w:rPr>
              <w:t>At least 95%</w:t>
            </w:r>
          </w:p>
        </w:tc>
      </w:tr>
      <w:tr>
        <w:trPr>
          <w:cantSplit/>
          <w:cantSplit/>
          <w:cantSplit/>
        </w:trPr>
        <w:tc>
          <w:tcPr>
            <w:tcW w:type="dxa" w:w="2088"/>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Citation validity</w:t>
            </w:r>
          </w:p>
        </w:tc>
        <w:tc>
          <w:tcPr>
            <w:tcW w:type="dxa" w:w="5616"/>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Cited IDs and locations resolve to stored evidence.</w:t>
            </w:r>
          </w:p>
        </w:tc>
        <w:tc>
          <w:tcPr>
            <w:tcW w:type="dxa" w:w="2088"/>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100%</w:t>
            </w:r>
          </w:p>
        </w:tc>
      </w:tr>
      <w:tr>
        <w:trPr>
          <w:cantSplit/>
          <w:cantSplit/>
          <w:cantSplit/>
        </w:trPr>
        <w:tc>
          <w:tcPr>
            <w:tcW w:type="dxa" w:w="2088"/>
            <w:tcBorders>
              <w:top w:val="single" w:sz="4" w:color="D9D9D9"/>
              <w:left w:val="single" w:sz="4" w:color="D9D9D9"/>
              <w:bottom w:val="single" w:sz="4" w:color="D9D9D9"/>
              <w:right w:val="single" w:sz="4" w:color="D9D9D9"/>
            </w:tcBorders>
            <w:shd w:fill="F5F6F7"/>
            <w:vAlign w:val="center"/>
          </w:tcPr>
          <w:p>
            <w:pPr>
              <w:spacing w:after="100" w:before="100"/>
            </w:pPr>
            <w:r>
              <w:rPr>
                <w:b w:val="0"/>
                <w:sz w:val="19"/>
              </w:rPr>
              <w:t>Abstention and clarification</w:t>
            </w:r>
          </w:p>
        </w:tc>
        <w:tc>
          <w:tcPr>
            <w:tcW w:type="dxa" w:w="5616"/>
            <w:tcBorders>
              <w:top w:val="single" w:sz="4" w:color="D9D9D9"/>
              <w:left w:val="single" w:sz="4" w:color="D9D9D9"/>
              <w:bottom w:val="single" w:sz="4" w:color="D9D9D9"/>
              <w:right w:val="single" w:sz="4" w:color="D9D9D9"/>
            </w:tcBorders>
            <w:shd w:fill="F5F6F7"/>
            <w:vAlign w:val="center"/>
          </w:tcPr>
          <w:p>
            <w:pPr>
              <w:spacing w:after="100" w:before="100"/>
            </w:pPr>
            <w:r>
              <w:rPr>
                <w:b w:val="0"/>
                <w:sz w:val="19"/>
              </w:rPr>
              <w:t>Correct response on designated insufficient-evidence or missing-scope cases.</w:t>
            </w:r>
          </w:p>
        </w:tc>
        <w:tc>
          <w:tcPr>
            <w:tcW w:type="dxa" w:w="2088"/>
            <w:tcBorders>
              <w:top w:val="single" w:sz="4" w:color="D9D9D9"/>
              <w:left w:val="single" w:sz="4" w:color="D9D9D9"/>
              <w:bottom w:val="single" w:sz="4" w:color="D9D9D9"/>
              <w:right w:val="single" w:sz="4" w:color="D9D9D9"/>
            </w:tcBorders>
            <w:shd w:fill="F5F6F7"/>
            <w:vAlign w:val="center"/>
          </w:tcPr>
          <w:p>
            <w:pPr>
              <w:spacing w:after="100" w:before="100"/>
            </w:pPr>
            <w:r>
              <w:rPr>
                <w:b w:val="0"/>
                <w:sz w:val="19"/>
              </w:rPr>
              <w:t>Report count and denominator</w:t>
            </w:r>
          </w:p>
        </w:tc>
      </w:tr>
      <w:tr>
        <w:trPr>
          <w:cantSplit/>
          <w:cantSplit/>
          <w:cantSplit/>
        </w:trPr>
        <w:tc>
          <w:tcPr>
            <w:tcW w:type="dxa" w:w="2088"/>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Material errors</w:t>
            </w:r>
          </w:p>
        </w:tc>
        <w:tc>
          <w:tcPr>
            <w:tcW w:type="dxa" w:w="5616"/>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Wrong authority, applicability, obligation or unsupported compliance assurance.</w:t>
            </w:r>
          </w:p>
        </w:tc>
        <w:tc>
          <w:tcPr>
            <w:tcW w:type="dxa" w:w="2088"/>
            <w:tcBorders>
              <w:top w:val="single" w:sz="4" w:color="D9D9D9"/>
              <w:left w:val="single" w:sz="4" w:color="D9D9D9"/>
              <w:bottom w:val="single" w:sz="4" w:color="D9D9D9"/>
              <w:right w:val="single" w:sz="4" w:color="D9D9D9"/>
            </w:tcBorders>
            <w:shd w:fill="FFFFFF"/>
            <w:vAlign w:val="center"/>
          </w:tcPr>
          <w:p>
            <w:pPr>
              <w:spacing w:after="100" w:before="100"/>
            </w:pPr>
            <w:r>
              <w:rPr>
                <w:b w:val="0"/>
                <w:sz w:val="19"/>
              </w:rPr>
              <w:t>Investigate every case</w:t>
            </w:r>
          </w:p>
        </w:tc>
      </w:tr>
      <w:tr>
        <w:trPr>
          <w:cantSplit/>
          <w:cantSplit/>
          <w:cantSplit/>
        </w:trPr>
        <w:tc>
          <w:tcPr>
            <w:tcW w:type="dxa" w:w="2088"/>
            <w:tcBorders>
              <w:top w:val="single" w:sz="4" w:color="D9D9D9"/>
              <w:left w:val="single" w:sz="4" w:color="D9D9D9"/>
              <w:bottom w:val="single" w:sz="4" w:color="D9D9D9"/>
              <w:right w:val="single" w:sz="4" w:color="D9D9D9"/>
            </w:tcBorders>
            <w:shd w:fill="F5F6F7"/>
            <w:vAlign w:val="center"/>
          </w:tcPr>
          <w:p>
            <w:pPr>
              <w:spacing w:after="100" w:before="100"/>
            </w:pPr>
            <w:r>
              <w:rPr>
                <w:b w:val="0"/>
                <w:sz w:val="19"/>
              </w:rPr>
              <w:t>Latency and cost</w:t>
            </w:r>
          </w:p>
        </w:tc>
        <w:tc>
          <w:tcPr>
            <w:tcW w:type="dxa" w:w="5616"/>
            <w:tcBorders>
              <w:top w:val="single" w:sz="4" w:color="D9D9D9"/>
              <w:left w:val="single" w:sz="4" w:color="D9D9D9"/>
              <w:bottom w:val="single" w:sz="4" w:color="D9D9D9"/>
              <w:right w:val="single" w:sz="4" w:color="D9D9D9"/>
            </w:tcBorders>
            <w:shd w:fill="F5F6F7"/>
            <w:vAlign w:val="center"/>
          </w:tcPr>
          <w:p>
            <w:pPr>
              <w:spacing w:after="100" w:before="100"/>
            </w:pPr>
            <w:r>
              <w:rPr>
                <w:b w:val="0"/>
                <w:sz w:val="19"/>
              </w:rPr>
              <w:t>End-to-end latency and measured token charges.</w:t>
            </w:r>
          </w:p>
        </w:tc>
        <w:tc>
          <w:tcPr>
            <w:tcW w:type="dxa" w:w="2088"/>
            <w:tcBorders>
              <w:top w:val="single" w:sz="4" w:color="D9D9D9"/>
              <w:left w:val="single" w:sz="4" w:color="D9D9D9"/>
              <w:bottom w:val="single" w:sz="4" w:color="D9D9D9"/>
              <w:right w:val="single" w:sz="4" w:color="D9D9D9"/>
            </w:tcBorders>
            <w:shd w:fill="F5F6F7"/>
            <w:vAlign w:val="center"/>
          </w:tcPr>
          <w:p>
            <w:pPr>
              <w:spacing w:after="100" w:before="100"/>
            </w:pPr>
            <w:r>
              <w:rPr>
                <w:b w:val="0"/>
                <w:sz w:val="19"/>
              </w:rPr>
              <w:t>Aim for p95 under 10 seconds</w:t>
            </w:r>
          </w:p>
        </w:tc>
      </w:tr>
    </w:tbl>
    <w:p/>
    <w:p>
      <w:r>
        <w:t>Targets are design goals, not results. A 30-case evaluation is a small portfolio benchmark, not production assurance. Python calculates metrics; human review establishes interpretation and materiality. Optional LLM grading is supplementary.</w:t>
      </w:r>
    </w:p>
    <w:p>
      <w:pPr>
        <w:pStyle w:val="Heading2"/>
      </w:pPr>
      <w:r>
        <w:t>Incremental budget target</w:t>
      </w:r>
    </w:p>
    <w:p>
      <w:r>
        <w:t>Plan around a $10 development ceiling beyond existing subscriptions. This is a spending constraint, not a provider quote. Confirm credit coverage and current prices, then run a 10-question pilot before the full evaluation. Two configurations over 30 cases means 60 answer runs before retries and development.</w:t>
      </w:r>
    </w:p>
    <w:p>
      <w:pPr>
        <w:pStyle w:val="ListBullet"/>
      </w:pPr>
      <w:r>
        <w:t>Embed each source snapshot once. Cache embeddings and repeated questions; refresh only changed sections.</w:t>
      </w:r>
    </w:p>
    <w:p>
      <w:pPr>
        <w:pStyle w:val="ListBullet"/>
      </w:pPr>
      <w:r>
        <w:t>Use one model call for ordinary answers; cap any retry at one. Limit output length and context size.</w:t>
      </w:r>
    </w:p>
    <w:p>
      <w:pPr>
        <w:pStyle w:val="ListBullet"/>
      </w:pPr>
      <w:r>
        <w:t>Compute deterministic checks locally. No GPU rental, fine-tuning or paid market-data feed is planned.</w:t>
      </w:r>
    </w:p>
    <w:p>
      <w:pPr>
        <w:pStyle w:val="ListBullet"/>
      </w:pPr>
      <w:r>
        <w:t>Track embedding tokens, input tokens, output tokens, storage, hosting and tracing separately. Include hosting costs even when model credits cover inference.</w:t>
      </w:r>
    </w:p>
    <w:p>
      <w:pPr>
        <w:pStyle w:val="ListBullet"/>
      </w:pPr>
      <w:r>
        <w:t>Keep public live calls disabled by default. Publish cached example runs; enable limited live use only after testing session limits and a server-side spending stop.</w:t>
      </w:r>
    </w:p>
    <w:p>
      <w:r>
        <w:br w:type="page"/>
      </w:r>
    </w:p>
    <w:p>
      <w:pPr>
        <w:pStyle w:val="Heading1"/>
      </w:pPr>
      <w:r>
        <w:t>Deliverables and source references</w:t>
      </w:r>
    </w:p>
    <w:p>
      <w:pPr>
        <w:pStyle w:val="Heading2"/>
      </w:pPr>
      <w:r>
        <w:t>Public portfolio package</w:t>
      </w:r>
    </w:p>
    <w:p>
      <w:r>
        <w:t>Publish the application, a reproducible source registry, a short methodology, a 30-case evaluation with failures, a dense-versus-hybrid comparison, measured costs and a demo under five minutes. Check source redistribution terms; link to official documents where appropriate.</w:t>
      </w:r>
    </w:p>
    <w:p>
      <w:pPr>
        <w:pStyle w:val="Heading2"/>
      </w:pPr>
      <w:r>
        <w:t>Suggested demonstration</w:t>
      </w:r>
    </w:p>
    <w:p>
      <w:r>
        <w:t>Show one supported answer, one checklist with evidence, one question needing clarification and one unsupported question the assistant declines to resolve. Finish with a retrieval improvement or a documented failure that remained after tuning.</w:t>
      </w:r>
    </w:p>
    <w:p>
      <w:pPr>
        <w:pStyle w:val="Heading2"/>
      </w:pPr>
      <w:r>
        <w:t>Current starter package</w:t>
      </w:r>
    </w:p>
    <w:p>
      <w:r>
        <w:t>The starter folder contains this plan, a candidate source manifest, proposed settings, 12 unreviewed evaluation questions, blank environment settings and empty implementation folders. The chatbot and ingestion pipeline are the next build steps.</w:t>
      </w:r>
    </w:p>
    <w:p>
      <w:pPr>
        <w:pStyle w:val="Heading2"/>
      </w:pPr>
      <w:r>
        <w:t>Official sources and reference implementation</w:t>
      </w:r>
    </w:p>
    <w:p>
      <w:r>
        <w:rPr>
          <w:b/>
        </w:rPr>
        <w:t>[1] FinCEN role</w:t>
        <w:br/>
      </w:r>
      <w:hyperlink r:id="rId9">
        <w:r>
          <w:rPr>
            <w:sz w:val="18"/>
          </w:rPr>
          <w:t>https://www.fincen.gov/about-fincen/what-we-do</w:t>
        </w:r>
      </w:hyperlink>
    </w:p>
    <w:p>
      <w:r>
        <w:rPr>
          <w:b/>
        </w:rPr>
        <w:t>[2] BSA statutes and regulatory source gateway</w:t>
        <w:br/>
      </w:r>
      <w:hyperlink r:id="rId10">
        <w:r>
          <w:rPr>
            <w:sz w:val="18"/>
          </w:rPr>
          <w:t>https://www.fincen.gov/resources/statutes-and-regulations/bank-secrecy-act</w:t>
        </w:r>
      </w:hyperlink>
    </w:p>
    <w:p>
      <w:r>
        <w:rPr>
          <w:b/>
        </w:rPr>
        <w:t>[3] FFIEC manual introduction and agency context</w:t>
        <w:br/>
      </w:r>
      <w:hyperlink r:id="rId11">
        <w:r>
          <w:rPr>
            <w:sz w:val="18"/>
          </w:rPr>
          <w:t>https://bsaaml.ffiec.gov/manual/Introduction/01</w:t>
        </w:r>
      </w:hyperlink>
    </w:p>
    <w:p>
      <w:r>
        <w:rPr>
          <w:b/>
        </w:rPr>
        <w:t>[4] FFIEC section directory</w:t>
        <w:br/>
      </w:r>
      <w:hyperlink r:id="rId12">
        <w:r>
          <w:rPr>
            <w:sz w:val="18"/>
          </w:rPr>
          <w:t>https://bsaaml.ffiec.gov/manual</w:t>
        </w:r>
      </w:hyperlink>
    </w:p>
    <w:p>
      <w:r>
        <w:rPr>
          <w:b/>
        </w:rPr>
        <w:t>[5] Bank rules in eCFR</w:t>
        <w:br/>
      </w:r>
      <w:hyperlink r:id="rId13">
        <w:r>
          <w:rPr>
            <w:sz w:val="18"/>
          </w:rPr>
          <w:t>https://www.ecfr.gov/current/title-31/subtitle-B/chapter-X/part-1020</w:t>
        </w:r>
      </w:hyperlink>
    </w:p>
    <w:p>
      <w:r>
        <w:rPr>
          <w:b/>
        </w:rPr>
        <w:t>[6] FFIEC risk assessment</w:t>
        <w:br/>
      </w:r>
      <w:hyperlink r:id="rId14">
        <w:r>
          <w:rPr>
            <w:sz w:val="18"/>
          </w:rPr>
          <w:t>https://bsaaml.ffiec.gov/manual/BSAAMLRiskAssessment/01</w:t>
        </w:r>
      </w:hyperlink>
    </w:p>
    <w:p>
      <w:r>
        <w:rPr>
          <w:b/>
        </w:rPr>
        <w:t>[7] OFAC compliance framework publication</w:t>
        <w:br/>
      </w:r>
      <w:hyperlink r:id="rId15">
        <w:r>
          <w:rPr>
            <w:sz w:val="18"/>
          </w:rPr>
          <w:t>https://ofac.treasury.gov/recent-actions/20190502_33</w:t>
        </w:r>
      </w:hyperlink>
    </w:p>
    <w:p>
      <w:r>
        <w:rPr>
          <w:b/>
        </w:rPr>
        <w:t>[8] FATF recommendations</w:t>
        <w:br/>
      </w:r>
      <w:hyperlink r:id="rId16">
        <w:r>
          <w:rPr>
            <w:sz w:val="18"/>
          </w:rPr>
          <w:t>https://www.fatf-gafi.org/en/publications/Fatfrecommendations/Fatf-recommendations.html</w:t>
        </w:r>
      </w:hyperlink>
    </w:p>
    <w:p>
      <w:r>
        <w:rPr>
          <w:b/>
        </w:rPr>
        <w:t>[9] RegRAG conceptual reference</w:t>
        <w:br/>
      </w:r>
      <w:hyperlink r:id="rId17">
        <w:r>
          <w:rPr>
            <w:sz w:val="18"/>
          </w:rPr>
          <w:t>https://github.com/gregorizeidler/RegRAG</w:t>
        </w:r>
      </w:hyperlink>
    </w:p>
    <w:sectPr w:rsidR="00FC693F" w:rsidRPr="0006063C" w:rsidSect="00034616">
      <w:footerReference w:type="default" r:id="rId18"/>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incen.gov/about-fincen/what-we-do" TargetMode="External"/><Relationship Id="rId10" Type="http://schemas.openxmlformats.org/officeDocument/2006/relationships/hyperlink" Target="https://www.fincen.gov/resources/statutes-and-regulations/bank-secrecy-act" TargetMode="External"/><Relationship Id="rId11" Type="http://schemas.openxmlformats.org/officeDocument/2006/relationships/hyperlink" Target="https://bsaaml.ffiec.gov/manual/Introduction/01" TargetMode="External"/><Relationship Id="rId12" Type="http://schemas.openxmlformats.org/officeDocument/2006/relationships/hyperlink" Target="https://bsaaml.ffiec.gov/manual" TargetMode="External"/><Relationship Id="rId13" Type="http://schemas.openxmlformats.org/officeDocument/2006/relationships/hyperlink" Target="https://www.ecfr.gov/current/title-31/subtitle-B/chapter-X/part-1020" TargetMode="External"/><Relationship Id="rId14" Type="http://schemas.openxmlformats.org/officeDocument/2006/relationships/hyperlink" Target="https://bsaaml.ffiec.gov/manual/BSAAMLRiskAssessment/01" TargetMode="External"/><Relationship Id="rId15" Type="http://schemas.openxmlformats.org/officeDocument/2006/relationships/hyperlink" Target="https://ofac.treasury.gov/recent-actions/20190502_33" TargetMode="External"/><Relationship Id="rId16" Type="http://schemas.openxmlformats.org/officeDocument/2006/relationships/hyperlink" Target="https://www.fatf-gafi.org/en/publications/Fatfrecommendations/Fatf-recommendations.html" TargetMode="External"/><Relationship Id="rId17" Type="http://schemas.openxmlformats.org/officeDocument/2006/relationships/hyperlink" Target="https://github.com/gregorizeidler/RegRAG"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