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w:t>
      </w:r>
      <w:r w:rsidR="00A802A8">
        <w:rPr>
          <w:rStyle w:val="FootnoteReference"/>
        </w:rPr>
        <w:footnoteReference w:id="1"/>
      </w:r>
      <w:r>
        <w:t xml:space="preserv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2299C" w:rsidRDefault="0062299C" w:rsidP="00EA6FAE">
            <w:pPr>
              <w:pStyle w:val="BulletItem"/>
              <w:numPr>
                <w:ilvl w:val="0"/>
                <w:numId w:val="0"/>
              </w:numPr>
              <w:rPr>
                <w:noProof/>
              </w:rPr>
            </w:pPr>
            <w:r w:rsidRPr="0062299C">
              <w:rPr>
                <w:noProof/>
              </w:rPr>
              <w:drawing>
                <wp:inline distT="0" distB="0" distL="0" distR="0">
                  <wp:extent cx="5486400" cy="4970145"/>
                  <wp:effectExtent l="0" t="0" r="0" b="0"/>
                  <wp:docPr id="9"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62299C">
        <w:rPr>
          <w:rFonts w:ascii="Courier New" w:hAnsi="Courier New"/>
        </w:rPr>
        <w:t>2 ** 30</w:t>
      </w:r>
      <w:r w:rsidR="00434586">
        <w:t xml:space="preserve"> yields </w:t>
      </w:r>
      <w:r w:rsidR="0062299C" w:rsidRPr="0062299C">
        <w:t>1073741824</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r w:rsidR="00FD6531">
        <w:t xml:space="preserve"> (unless your use of parentheses groups expressions differently)</w:t>
      </w:r>
      <w:r w:rsidR="00AD73BF">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w:t>
      </w:r>
      <w:r w:rsidR="00FD6531">
        <w:t>with</w:t>
      </w:r>
      <w:r w:rsidR="00EB2B65">
        <w:t xml:space="preserve">in a </w:t>
      </w:r>
      <w:r w:rsidR="00FD6531">
        <w:t>script. Longstanding tradition holds that the declarations within classes (and analogous declarations like Contexts and Roles) put the public, published declarations at the top, because those are of most interest to the common reader of the code.</w:t>
      </w:r>
      <w:r w:rsidR="00EB2B65">
        <w:t xml:space="preserve"> </w:t>
      </w:r>
      <w:r w:rsidR="00FD6531">
        <w:t>However</w:t>
      </w:r>
      <w:r w:rsidR="00EB2B65">
        <w:t xml:space="preserve">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1F6229" w:rsidP="008614E4">
      <w:r>
        <w:t xml:space="preserve">The </w:t>
      </w:r>
      <w:r w:rsidRPr="00CC0149">
        <w:rPr>
          <w:rFonts w:ascii="Courier New" w:hAnsi="Courier New"/>
        </w:rPr>
        <w:t>familyName</w:t>
      </w:r>
      <w:r>
        <w:t xml:space="preserve"> script is written to return an object to the one who cued it. Here, the code cueing the script binds that returned object to the identifier </w:t>
      </w:r>
      <w:r w:rsidRPr="00CC0149">
        <w:rPr>
          <w:rFonts w:ascii="Courier New" w:hAnsi="Courier New"/>
        </w:rPr>
        <w:t>familyNameOfMyStudyPartner</w:t>
      </w:r>
      <w:r>
        <w:t xml:space="preserve">. </w:t>
      </w:r>
      <w:r w:rsidR="005D2A09">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FD6531" w:rsidP="008614E4">
      <w:r>
        <w:t xml:space="preserve">(You can omit the parentheses only in cases where it doesn't lead to ambiguity, and, unfortunately, that isn't always the case.) </w:t>
      </w:r>
      <w:r w:rsidR="00741B2E">
        <w:t xml:space="preserve">We say that the client </w:t>
      </w:r>
      <w:r w:rsidR="00741B2E" w:rsidRPr="00741B2E">
        <w:rPr>
          <w:i/>
        </w:rPr>
        <w:t>sends a cue</w:t>
      </w:r>
      <w:r w:rsidR="00741B2E">
        <w:t xml:space="preserve"> to </w:t>
      </w:r>
      <w:r w:rsidR="00741B2E" w:rsidRPr="00CC0149">
        <w:rPr>
          <w:rFonts w:ascii="Courier New" w:hAnsi="Courier New"/>
        </w:rPr>
        <w:t>studyPartner</w:t>
      </w:r>
      <w:r w:rsidR="00741B2E">
        <w:t xml:space="preserve"> requesting that it perform its </w:t>
      </w:r>
      <w:r w:rsidR="00741B2E" w:rsidRPr="00CC0149">
        <w:rPr>
          <w:rFonts w:ascii="Courier New" w:hAnsi="Courier New"/>
        </w:rPr>
        <w:t>familyName</w:t>
      </w:r>
      <w:r w:rsidR="00741B2E">
        <w:t xml:space="preserve"> script.</w:t>
      </w:r>
      <w:r w:rsidR="00B77FAE">
        <w:t xml:space="preserve"> This is reminiscent of players in a play saying their piece or performing some action in response to some words or action directed to them from some other actor on the stage.</w:t>
      </w:r>
      <w:r w:rsidR="00741B2E">
        <w:t xml:space="preserve"> In computerese, what we</w:t>
      </w:r>
      <w:r w:rsidR="00B77FAE">
        <w:t xml:space="preserve"> here</w:t>
      </w:r>
      <w:r w:rsidR="00741B2E">
        <w:t xml:space="preserve"> call a </w:t>
      </w:r>
      <w:r w:rsidR="00741B2E" w:rsidRPr="00741B2E">
        <w:rPr>
          <w:i/>
        </w:rPr>
        <w:t>cue</w:t>
      </w:r>
      <w:r w:rsidR="00741B2E">
        <w:t xml:space="preserve"> is called a </w:t>
      </w:r>
      <w:r w:rsidR="00741B2E" w:rsidRPr="00741B2E">
        <w:rPr>
          <w:i/>
        </w:rPr>
        <w:t>message</w:t>
      </w:r>
      <w:r w:rsidR="00B77FAE">
        <w:t>. In this example, t</w:t>
      </w:r>
      <w:r w:rsidR="00741B2E">
        <w:t xml:space="preserve">he </w:t>
      </w:r>
      <w:r w:rsidR="00741B2E" w:rsidRPr="00CC0149">
        <w:rPr>
          <w:rFonts w:ascii="Courier New" w:hAnsi="Courier New"/>
        </w:rPr>
        <w:t>studyPartner</w:t>
      </w:r>
      <w:r w:rsidR="00741B2E">
        <w:t xml:space="preserve"> object (of class </w:t>
      </w:r>
      <w:r w:rsidR="00741B2E" w:rsidRPr="00CC0149">
        <w:rPr>
          <w:rFonts w:ascii="Courier New" w:hAnsi="Courier New"/>
        </w:rPr>
        <w:t>ClassMate</w:t>
      </w:r>
      <w:r w:rsidR="00741B2E">
        <w:t xml:space="preserve">) runs its script — which in this case is very simple. </w:t>
      </w:r>
      <w:r w:rsidR="008614E4">
        <w:t xml:space="preserve">When the script runs it takes </w:t>
      </w:r>
      <w:r w:rsidR="00741B2E">
        <w:t xml:space="preserve">the object that was previously associated with its local identifier </w:t>
      </w:r>
      <w:r w:rsidR="00741B2E" w:rsidRPr="00CC0149">
        <w:rPr>
          <w:rFonts w:ascii="Courier New" w:hAnsi="Courier New"/>
        </w:rPr>
        <w:t>familyName_</w:t>
      </w:r>
      <w:r w:rsidR="00741B2E">
        <w:t xml:space="preserve"> (</w:t>
      </w:r>
      <w:r w:rsidR="00CC0149">
        <w:t xml:space="preserve">identifiers </w:t>
      </w:r>
      <w:r w:rsidR="00741B2E">
        <w:t xml:space="preserve">local </w:t>
      </w:r>
      <w:r w:rsidR="00CC0149">
        <w:t>to a class</w:t>
      </w:r>
      <w:r w:rsidR="00741B2E">
        <w:t xml:space="preserve"> usually end in an underscore, but that is only a convention) and “returns” it to the client.</w:t>
      </w:r>
      <w:r w:rsidR="00214209">
        <w:t xml:space="preserve"> The return expression delivers the object to the client in the place where the cue appears in the code.</w:t>
      </w:r>
      <w:r w:rsidR="00741B2E">
        <w:t xml:space="preserve"> In this example, the identifier </w:t>
      </w:r>
      <w:r w:rsidR="00741B2E" w:rsidRPr="00CC0149">
        <w:rPr>
          <w:rFonts w:ascii="Courier New" w:hAnsi="Courier New"/>
        </w:rPr>
        <w:t>familyNameOfMyStudyPartner</w:t>
      </w:r>
      <w:r w:rsidR="00741B2E">
        <w:t xml:space="preserve"> in the client also becomes bound to the same object that </w:t>
      </w:r>
      <w:r w:rsidR="00741B2E" w:rsidRPr="00CC0149">
        <w:rPr>
          <w:rFonts w:ascii="Courier New" w:hAnsi="Courier New"/>
        </w:rPr>
        <w:t>ClassMate</w:t>
      </w:r>
      <w:r w:rsidR="00741B2E">
        <w:t xml:space="preserve"> had already bound to its </w:t>
      </w:r>
      <w:r w:rsidR="00741B2E" w:rsidRPr="00CC0149">
        <w:rPr>
          <w:rFonts w:ascii="Courier New" w:hAnsi="Courier New"/>
        </w:rPr>
        <w:t>familyName_</w:t>
      </w:r>
      <w:r w:rsidR="00741B2E">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t>
      </w:r>
      <w:r w:rsidR="00556DF7" w:rsidRPr="00556DF7">
        <w:rPr>
          <w:rFonts w:ascii="Courier New" w:hAnsi="Courier New"/>
        </w:rPr>
        <w:t>System.out</w:t>
      </w:r>
      <w:r w:rsidR="00556DF7">
        <w:t xml:space="preserve"> is just a special object of class </w:t>
      </w:r>
      <w:r w:rsidR="00556DF7" w:rsidRPr="00556DF7">
        <w:rPr>
          <w:rFonts w:ascii="Courier New" w:hAnsi="Courier New"/>
        </w:rPr>
        <w:t>OutputStream</w:t>
      </w:r>
      <w:r w:rsidR="00556DF7">
        <w:t xml:space="preserve"> ("special" in the sense that, at this writing, you cannot create your own objects of this class). </w:t>
      </w:r>
      <w:r w:rsidR="001F6229">
        <w:t xml:space="preserve">The scripts </w:t>
      </w:r>
      <w:r w:rsidR="00556DF7">
        <w:rPr>
          <w:rFonts w:ascii="Courier New" w:hAnsi="Courier New"/>
        </w:rPr>
        <w:t>Output</w:t>
      </w:r>
      <w:r w:rsidR="001F6229" w:rsidRPr="001F6229">
        <w:rPr>
          <w:rFonts w:ascii="Courier New" w:hAnsi="Courier New"/>
        </w:rPr>
        <w:t>Stream.print</w:t>
      </w:r>
      <w:r w:rsidR="001F6229">
        <w:t xml:space="preserve"> and </w:t>
      </w:r>
      <w:r w:rsidR="001F6229" w:rsidRPr="001F6229">
        <w:rPr>
          <w:rFonts w:ascii="Courier New" w:hAnsi="Courier New"/>
        </w:rPr>
        <w:t>Out</w:t>
      </w:r>
      <w:r w:rsidR="00556DF7">
        <w:rPr>
          <w:rFonts w:ascii="Courier New" w:hAnsi="Courier New"/>
        </w:rPr>
        <w:t>put</w:t>
      </w:r>
      <w:r w:rsidR="001F6229" w:rsidRPr="001F6229">
        <w:rPr>
          <w:rFonts w:ascii="Courier New" w:hAnsi="Courier New"/>
        </w:rPr>
        <w:t>Stream.println</w:t>
      </w:r>
      <w:r w:rsidR="001F6229">
        <w:t xml:space="preserve"> both return the output stream for which they were called</w:t>
      </w:r>
      <w:r>
        <w:t>.</w:t>
      </w:r>
      <w:r w:rsidR="001F6229">
        <w:t xml:space="preserve"> So </w:t>
      </w:r>
      <w:r w:rsidR="001F6229" w:rsidRPr="001F6229">
        <w:rPr>
          <w:rFonts w:ascii="Courier New" w:hAnsi="Courier New"/>
        </w:rPr>
        <w:t>System.out.print(123)</w:t>
      </w:r>
      <w:r w:rsidR="001F6229">
        <w:t xml:space="preserve"> is an expression that evaluates to </w:t>
      </w:r>
      <w:r w:rsidR="001F6229" w:rsidRPr="001F6229">
        <w:rPr>
          <w:rFonts w:ascii="Courier New" w:hAnsi="Courier New"/>
        </w:rPr>
        <w:t>System.out</w:t>
      </w:r>
      <w:r w:rsidR="00556DF7">
        <w:t xml:space="preserve">. That means we can say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rsidRPr="001F6229">
        <w:rPr>
          <w:rFonts w:ascii="Courier New" w:hAnsi="Courier New"/>
        </w:rPr>
        <w:t>)</w:t>
      </w:r>
      <w:r w:rsidR="00556DF7">
        <w:t xml:space="preserve"> to print 123456. Or we can omit the parenthesis and just write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t xml:space="preserve"> to save some typing.</w:t>
      </w:r>
    </w:p>
    <w:p w:rsidR="00306E7E" w:rsidRDefault="001B5B35" w:rsidP="001B5B35">
      <w:pPr>
        <w:pStyle w:val="Heading3"/>
      </w:pPr>
      <w:r>
        <w:t>Scripts at several levels</w:t>
      </w:r>
    </w:p>
    <w:p w:rsidR="001B5B35" w:rsidRPr="00306E7E" w:rsidRDefault="001B5B35" w:rsidP="00306E7E"/>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306E7E" w:rsidRDefault="005E7F28" w:rsidP="005E7F28">
      <w:pPr>
        <w:pStyle w:val="Heading3"/>
      </w:pPr>
      <w:r>
        <w:t>Identifiers Inside a Script</w:t>
      </w:r>
    </w:p>
    <w:p w:rsidR="005E7F28" w:rsidRPr="00306E7E" w:rsidRDefault="005E7F28" w:rsidP="00306E7E"/>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57263F">
        <w:rPr>
          <w:rFonts w:ascii="Courier New" w:hAnsi="Courier New"/>
        </w:rPr>
        <w:t>i = 0; i</w:t>
      </w:r>
      <w:r w:rsidR="00C27868">
        <w:rPr>
          <w:rFonts w:ascii="Courier New" w:hAnsi="Courier New"/>
        </w:rPr>
        <w:t xml:space="preserve">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w:t>
      </w:r>
      <w:r w:rsidR="0057263F">
        <w:t>used</w:t>
      </w:r>
      <w:r>
        <w:t xml:space="preserve">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306E7E">
      <w:pPr>
        <w:keepNext/>
      </w:pPr>
    </w:p>
    <w:p w:rsidR="00D00265" w:rsidRDefault="00D00265" w:rsidP="00306E7E">
      <w:pPr>
        <w:keepNext/>
      </w:pPr>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306E7E">
      <w:pPr>
        <w:keepNext/>
      </w:pPr>
    </w:p>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t>
      </w:r>
      <w:r w:rsidR="0013523D">
        <w:t xml:space="preserve">(These </w:t>
      </w:r>
      <w:r w:rsidR="0013523D" w:rsidRPr="0013523D">
        <w:rPr>
          <w:rFonts w:ascii="Courier New" w:hAnsi="Courier New"/>
        </w:rPr>
        <w:t>case</w:t>
      </w:r>
      <w:r w:rsidR="0013523D">
        <w:t xml:space="preserve"> labels are just tags in the code: they aren't really "enacted" per se, but just anchor some points at which enactment might ensue, depending on the </w:t>
      </w:r>
      <w:r w:rsidR="0013523D" w:rsidRPr="0013523D">
        <w:rPr>
          <w:rFonts w:ascii="Courier New" w:hAnsi="Courier New"/>
        </w:rPr>
        <w:t>switch</w:t>
      </w:r>
      <w:r w:rsidR="0013523D">
        <w:t xml:space="preserve"> value). </w:t>
      </w:r>
      <w:r>
        <w:t xml:space="preserve">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w:t>
      </w:r>
      <w:r w:rsidR="00DB6D67">
        <w:t>: we're explicitly calling a script named "+", using the usual notation with a period that we use when enacting other scripts. While this syntax</w:t>
      </w:r>
      <w:r>
        <w:t xml:space="preserve">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1F6229" w:rsidRDefault="00C97610" w:rsidP="00C97610">
      <w:pPr>
        <w:pStyle w:val="Heading3"/>
      </w:pPr>
      <w:r>
        <w:t>Interface Guidelines</w:t>
      </w:r>
    </w:p>
    <w:p w:rsidR="00C97610" w:rsidRPr="001F6229" w:rsidRDefault="00C97610" w:rsidP="001F6229"/>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26446D"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4A05DF" w:rsidRPr="0028639B" w:rsidRDefault="004A05DF"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4A05DF" w:rsidRPr="0028639B" w:rsidRDefault="004A05DF"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4A05DF" w:rsidRPr="0028639B" w:rsidRDefault="004A05DF"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4A05DF" w:rsidRPr="0028639B" w:rsidRDefault="004A05DF"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4A05DF" w:rsidRDefault="004A05DF"/>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w:t>
      </w:r>
      <w:r w:rsidR="00AF352C">
        <w:t>le</w:t>
      </w:r>
      <w:r>
        <w:t>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r w:rsidR="006714F1">
        <w:t>it's important to focus on the interactions between multiple cooperating objects.</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F26599"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F26599" w:rsidRDefault="00F26599" w:rsidP="00A676D6"/>
    <w:p w:rsidR="00F26599" w:rsidRDefault="007C06AC" w:rsidP="00F26599">
      <w:pPr>
        <w:pStyle w:val="Heading3"/>
      </w:pPr>
      <w:r>
        <w:t>More p</w:t>
      </w:r>
      <w:r w:rsidR="00F26599">
        <w:t>roblems with playing multiple Roles at a time</w:t>
      </w:r>
    </w:p>
    <w:p w:rsidR="00F26599" w:rsidRDefault="00F26599" w:rsidP="00A676D6"/>
    <w:p w:rsidR="00D82B8C" w:rsidRDefault="00F26599" w:rsidP="00A676D6">
      <w:r>
        <w:t xml:space="preserve">Consider that a Role player is set up to play Role Daniel in the current context called NormalLife. That Context instantiates another Context called the NannySetting. That Context happens to use the same Role-player for a Role named Doubtfire. The nature of a Role is that it can change the state of the object. This raises the possibility that the NormalLife Context might run a script on the NannySetting Context which in turn indirectly modifies the state of the Role player ("indirectly" because the change is hidden from anyone reading the NormalLife Context code). If the NormalLife Context code depends on the state being consistent across its own calls to the </w:t>
      </w:r>
      <w:r w:rsidRPr="00F26599">
        <w:rPr>
          <w:rFonts w:ascii="Courier New" w:hAnsi="Courier New"/>
        </w:rPr>
        <w:t>requires</w:t>
      </w:r>
      <w:r>
        <w:t xml:space="preserve"> scripts of the Role-player, then there may be une</w:t>
      </w:r>
      <w:r w:rsidR="00D82B8C">
        <w:t>xpected state changes</w:t>
      </w:r>
      <w:r>
        <w:t>!</w:t>
      </w:r>
    </w:p>
    <w:p w:rsidR="00D82B8C" w:rsidRDefault="00D82B8C" w:rsidP="00A676D6"/>
    <w:p w:rsidR="000943C2" w:rsidRDefault="00D82B8C" w:rsidP="000943C2">
      <w:r>
        <w:t xml:space="preserve">We have described how the </w:t>
      </w:r>
      <w:r w:rsidRPr="00D82B8C">
        <w:rPr>
          <w:rFonts w:ascii="Courier New" w:hAnsi="Courier New"/>
        </w:rPr>
        <w:t>stageprop</w:t>
      </w:r>
      <w:r>
        <w:t xml:space="preserve"> features allows one Context to access a Role-player without modifying its state, and usually it's enough to use the </w:t>
      </w:r>
      <w:r w:rsidRPr="00D82B8C">
        <w:rPr>
          <w:rFonts w:ascii="Courier New" w:hAnsi="Courier New"/>
        </w:rPr>
        <w:t>stageprop</w:t>
      </w:r>
      <w:r>
        <w:t xml:space="preserve"> features to allow to give multiple Contexts access to the same Role-player.</w:t>
      </w:r>
      <w:r w:rsidR="000943C2">
        <w:t xml:space="preserve"> A </w:t>
      </w:r>
      <w:r w:rsidR="000943C2" w:rsidRPr="00D82B8C">
        <w:rPr>
          <w:rFonts w:ascii="Courier New" w:hAnsi="Courier New"/>
        </w:rPr>
        <w:t>stageprop</w:t>
      </w:r>
      <w:r w:rsidR="000943C2">
        <w:t xml:space="preserve"> can be declared just to use the </w:t>
      </w:r>
      <w:r w:rsidR="000943C2" w:rsidRPr="000943C2">
        <w:rPr>
          <w:rFonts w:ascii="Courier New" w:hAnsi="Courier New"/>
        </w:rPr>
        <w:t>const</w:t>
      </w:r>
      <w:r w:rsidR="000943C2">
        <w:t xml:space="preserve"> scripts of the Role-player. However, problems can arise if the two Contexts are somehow tightly linked: for example, if one of them creates the other, and passes the Role-player as the argument that will be bound to the Role in the other. If we trace the path by which the object is handed off from one Context to another, it will be bound to several different identifiers. Those identifiers must be declared in terms of types with compatible sets of scripts: in particular, the </w:t>
      </w:r>
      <w:r w:rsidR="000943C2" w:rsidRPr="000943C2">
        <w:rPr>
          <w:rFonts w:ascii="Courier New" w:hAnsi="Courier New"/>
        </w:rPr>
        <w:t>const</w:t>
      </w:r>
      <w:r w:rsidR="000943C2">
        <w:t>-ness must be consistent.</w:t>
      </w:r>
    </w:p>
    <w:p w:rsidR="000943C2" w:rsidRDefault="000943C2" w:rsidP="000943C2"/>
    <w:p w:rsidR="000943C2" w:rsidRDefault="000943C2" w:rsidP="000943C2">
      <w:r>
        <w:t xml:space="preserve">Consider a Context that implements a use case to pay multiple bills from a common account that is bound to the Role </w:t>
      </w:r>
      <w:r w:rsidRPr="000943C2">
        <w:rPr>
          <w:rFonts w:ascii="Courier New" w:hAnsi="Courier New"/>
        </w:rPr>
        <w:t>SOURCE_ACCOUNT</w:t>
      </w:r>
      <w:r>
        <w:t xml:space="preserve">.  Its </w:t>
      </w:r>
      <w:r w:rsidRPr="004A05DF">
        <w:rPr>
          <w:rFonts w:ascii="Courier New" w:hAnsi="Courier New"/>
        </w:rPr>
        <w:t>doit</w:t>
      </w:r>
      <w:r>
        <w:t xml:space="preserve"> method may look like this:</w:t>
      </w:r>
    </w:p>
    <w:p w:rsidR="000943C2" w:rsidRDefault="000943C2" w:rsidP="000943C2"/>
    <w:p w:rsidR="004A05DF" w:rsidRPr="004A05DF" w:rsidRDefault="000943C2" w:rsidP="004A05DF">
      <w:pPr>
        <w:widowControl w:val="0"/>
        <w:tabs>
          <w:tab w:val="left" w:pos="529"/>
        </w:tabs>
        <w:autoSpaceDE w:val="0"/>
        <w:autoSpaceDN w:val="0"/>
        <w:adjustRightInd w:val="0"/>
        <w:rPr>
          <w:rFonts w:ascii="Courier New" w:hAnsi="Courier New" w:cs="Menlo Regular"/>
          <w:color w:val="000000" w:themeColor="text1"/>
        </w:rPr>
      </w:pPr>
      <w:r>
        <w:rPr>
          <w:rFonts w:ascii="Menlo Regular" w:hAnsi="Menlo Regular" w:cs="Menlo Regular"/>
          <w:color w:val="000000"/>
          <w:sz w:val="22"/>
        </w:rPr>
        <w:t xml:space="preserve"> </w:t>
      </w:r>
      <w:r w:rsidR="004A05DF">
        <w:rPr>
          <w:rFonts w:ascii="Menlo Regular" w:hAnsi="Menlo Regular" w:cs="Menlo Regular"/>
          <w:color w:val="000000"/>
          <w:sz w:val="22"/>
        </w:rPr>
        <w:t xml:space="preserve">   </w:t>
      </w:r>
      <w:r w:rsidR="004A05DF" w:rsidRPr="004A05DF">
        <w:rPr>
          <w:rFonts w:ascii="Courier New" w:hAnsi="Courier New" w:cs="Menlo Regular"/>
          <w:color w:val="000000" w:themeColor="text1"/>
        </w:rPr>
        <w:t>public void doit()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for (Creditor credit : CREDITORS)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 Note that here we invoke another Use Case</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TransferMoneyContext xfer = new TransferMoneyContext(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credit.amountOwed(),</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SOURCE_ACCOUNT,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xfer.doit()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w:t>
      </w:r>
    </w:p>
    <w:p w:rsidR="000943C2" w:rsidRDefault="004A05DF" w:rsidP="004A05DF">
      <w:pPr>
        <w:widowControl w:val="0"/>
        <w:tabs>
          <w:tab w:val="left" w:pos="529"/>
        </w:tabs>
        <w:autoSpaceDE w:val="0"/>
        <w:autoSpaceDN w:val="0"/>
        <w:adjustRightInd w:val="0"/>
      </w:pPr>
      <w:r w:rsidRPr="004A05DF">
        <w:rPr>
          <w:rFonts w:ascii="Courier New" w:hAnsi="Courier New" w:cs="Menlo Regular"/>
          <w:color w:val="000000" w:themeColor="text1"/>
        </w:rPr>
        <w:t xml:space="preserve">    }</w:t>
      </w:r>
    </w:p>
    <w:p w:rsidR="000943C2" w:rsidRDefault="000943C2" w:rsidP="000943C2"/>
    <w:p w:rsidR="004A05DF" w:rsidRDefault="004A05DF" w:rsidP="00A676D6">
      <w:r>
        <w:t xml:space="preserve">The </w:t>
      </w:r>
      <w:r w:rsidRPr="000943C2">
        <w:rPr>
          <w:rFonts w:ascii="Courier New" w:hAnsi="Courier New"/>
        </w:rPr>
        <w:t>SOURCE_ACCOUNT</w:t>
      </w:r>
      <w:r>
        <w:t xml:space="preserve"> Role is perhaps declared like this:</w:t>
      </w:r>
    </w:p>
    <w:p w:rsidR="004A05DF" w:rsidRDefault="004A05DF" w:rsidP="00A676D6"/>
    <w:p w:rsidR="00501570" w:rsidRPr="004A05DF" w:rsidRDefault="004A05DF" w:rsidP="00501570">
      <w:pPr>
        <w:rPr>
          <w:rFonts w:ascii="Courier New" w:hAnsi="Courier New"/>
        </w:rPr>
      </w:pPr>
      <w:r w:rsidRPr="004A05DF">
        <w:rPr>
          <w:rFonts w:ascii="Courier New" w:hAnsi="Courier New"/>
        </w:rPr>
        <w:t xml:space="preserve">    </w:t>
      </w:r>
      <w:r w:rsidR="00501570">
        <w:rPr>
          <w:rFonts w:ascii="Courier New" w:hAnsi="Courier New"/>
        </w:rPr>
        <w:t>role</w:t>
      </w:r>
      <w:r w:rsidR="00501570"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w:t>
      </w:r>
      <w:r>
        <w:rPr>
          <w:rFonts w:ascii="Courier New" w:hAnsi="Courier New"/>
        </w:rPr>
        <w:t>sage, Date dt, Currency amount)</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sidR="007C06AC">
        <w:rPr>
          <w:rFonts w:ascii="Courier New" w:hAnsi="Courier New"/>
        </w:rPr>
        <w:t>a</w:t>
      </w:r>
      <w:r w:rsidRPr="004A05DF">
        <w:rPr>
          <w:rFonts w:ascii="Courier New" w:hAnsi="Courier New"/>
        </w:rPr>
        <w:t>t</w:t>
      </w:r>
      <w:r w:rsidR="007C06AC">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501570" w:rsidRDefault="00501570" w:rsidP="00501570"/>
    <w:p w:rsidR="00501570" w:rsidRDefault="00501570" w:rsidP="00501570">
      <w:r>
        <w:t xml:space="preserve">The problem is that </w:t>
      </w:r>
      <w:r w:rsidRPr="004A05DF">
        <w:rPr>
          <w:rFonts w:ascii="Courier New" w:hAnsi="Courier New"/>
        </w:rPr>
        <w:t>increaseBalance</w:t>
      </w:r>
      <w:r>
        <w:t xml:space="preserve"> and </w:t>
      </w:r>
      <w:r w:rsidRPr="004A05DF">
        <w:rPr>
          <w:rFonts w:ascii="Courier New" w:hAnsi="Courier New"/>
        </w:rPr>
        <w:t>decreaseBalance</w:t>
      </w:r>
      <w:r>
        <w:t xml:space="preserve"> are non-</w:t>
      </w:r>
      <w:r w:rsidRPr="004A05DF">
        <w:rPr>
          <w:rFonts w:ascii="Courier New" w:hAnsi="Courier New"/>
        </w:rPr>
        <w:t>const</w:t>
      </w:r>
      <w:r>
        <w:t xml:space="preserve"> scripts. The </w:t>
      </w:r>
      <w:r w:rsidRPr="004A05DF">
        <w:rPr>
          <w:rFonts w:ascii="Courier New" w:hAnsi="Courier New"/>
        </w:rPr>
        <w:t>decreaseBalance</w:t>
      </w:r>
      <w:r>
        <w:t xml:space="preserve"> script must be non-</w:t>
      </w:r>
      <w:r w:rsidRPr="004A05DF">
        <w:rPr>
          <w:rFonts w:ascii="Courier New" w:hAnsi="Courier New"/>
        </w:rPr>
        <w:t>const</w:t>
      </w:r>
      <w:r>
        <w:t xml:space="preserve"> for TransferMoneyContext to be able to debit it to pay the bills. But that means that the Role-playing account is playing a Role in the PayBills Context and in each of the </w:t>
      </w:r>
      <w:r w:rsidRPr="004A05DF">
        <w:rPr>
          <w:rFonts w:ascii="Courier New" w:hAnsi="Courier New"/>
        </w:rPr>
        <w:t>CREDITOR</w:t>
      </w:r>
      <w:r>
        <w:t xml:space="preserve"> Contexts — </w:t>
      </w:r>
      <w:r w:rsidR="007C06AC">
        <w:t>and that</w:t>
      </w:r>
      <w:r>
        <w:t xml:space="preserve"> will </w:t>
      </w:r>
      <w:r w:rsidR="007C06AC">
        <w:t>lead to</w:t>
      </w:r>
      <w:r>
        <w:t xml:space="preserve"> a (non-fatal) run-time error. We could fix this by declaring </w:t>
      </w:r>
      <w:r w:rsidRPr="004A05DF">
        <w:rPr>
          <w:rFonts w:ascii="Courier New" w:hAnsi="Courier New"/>
        </w:rPr>
        <w:t>decreaseBalance</w:t>
      </w:r>
      <w:r>
        <w:t xml:space="preserve">  to be </w:t>
      </w:r>
      <w:r w:rsidRPr="004A05DF">
        <w:rPr>
          <w:rFonts w:ascii="Courier New" w:hAnsi="Courier New"/>
        </w:rPr>
        <w:t>const</w:t>
      </w:r>
      <w:r>
        <w:t>, but it's n</w:t>
      </w:r>
      <w:r w:rsidR="007C06AC">
        <w:t xml:space="preserve">ot. And static type-checking in </w:t>
      </w:r>
      <w:r w:rsidR="007C06AC" w:rsidRPr="007C06AC">
        <w:rPr>
          <w:b/>
        </w:rPr>
        <w:t>trygve</w:t>
      </w:r>
      <w:r>
        <w:t xml:space="preserve"> require</w:t>
      </w:r>
      <w:r w:rsidR="007C06AC">
        <w:t>s</w:t>
      </w:r>
      <w:r>
        <w:t xml:space="preserve"> that it be declared </w:t>
      </w:r>
      <w:r w:rsidRPr="004A05DF">
        <w:rPr>
          <w:rFonts w:ascii="Courier New" w:hAnsi="Courier New"/>
        </w:rPr>
        <w:t>const</w:t>
      </w:r>
      <w:r>
        <w:t xml:space="preserve"> in all these Contexts if it is declared </w:t>
      </w:r>
      <w:r w:rsidRPr="004A05DF">
        <w:rPr>
          <w:rFonts w:ascii="Courier New" w:hAnsi="Courier New"/>
        </w:rPr>
        <w:t>const</w:t>
      </w:r>
      <w:r>
        <w:t xml:space="preserve"> in any of them!</w:t>
      </w:r>
    </w:p>
    <w:p w:rsidR="00501570" w:rsidRDefault="00501570" w:rsidP="00501570"/>
    <w:p w:rsidR="00501570" w:rsidRDefault="00501570" w:rsidP="004A05DF">
      <w:r>
        <w:t xml:space="preserve">We want a way to tell </w:t>
      </w:r>
      <w:r w:rsidRPr="004A05DF">
        <w:rPr>
          <w:b/>
        </w:rPr>
        <w:t>trygve</w:t>
      </w:r>
      <w:r>
        <w:t xml:space="preserve"> that though the </w:t>
      </w:r>
      <w:r w:rsidRPr="004A05DF">
        <w:rPr>
          <w:rFonts w:ascii="Courier New" w:hAnsi="Courier New"/>
        </w:rPr>
        <w:t>decreaseBalance</w:t>
      </w:r>
      <w:r>
        <w:t xml:space="preserve"> script is non-</w:t>
      </w:r>
      <w:r w:rsidRPr="004A05DF">
        <w:rPr>
          <w:rFonts w:ascii="Courier New" w:hAnsi="Courier New"/>
        </w:rPr>
        <w:t>const</w:t>
      </w:r>
      <w:r>
        <w:t xml:space="preserve">, that it doesn't matter in the PayBills script because PayBills in fact doesn't enact the </w:t>
      </w:r>
      <w:r w:rsidRPr="004A05DF">
        <w:rPr>
          <w:rFonts w:ascii="Courier New" w:hAnsi="Courier New"/>
        </w:rPr>
        <w:t>decreaseBalance</w:t>
      </w:r>
      <w:r>
        <w:t xml:space="preserve"> script so there is no danger of having multiple Contexts modifying shared state. We have a keyword, </w:t>
      </w:r>
      <w:r w:rsidRPr="00501570">
        <w:rPr>
          <w:rFonts w:ascii="Courier New" w:hAnsi="Courier New"/>
        </w:rPr>
        <w:t>unused</w:t>
      </w:r>
      <w:r>
        <w:t xml:space="preserve">, that works like </w:t>
      </w:r>
      <w:r w:rsidRPr="004A05DF">
        <w:rPr>
          <w:rFonts w:ascii="Courier New" w:hAnsi="Courier New"/>
        </w:rPr>
        <w:t>const</w:t>
      </w:r>
      <w:r>
        <w:t xml:space="preserve"> in this regard but which can be used to annotate non-</w:t>
      </w:r>
      <w:r w:rsidRPr="004A05DF">
        <w:rPr>
          <w:rFonts w:ascii="Courier New" w:hAnsi="Courier New"/>
        </w:rPr>
        <w:t>const</w:t>
      </w:r>
      <w:r>
        <w:t xml:space="preserve"> methods in a </w:t>
      </w:r>
      <w:r>
        <w:rPr>
          <w:rFonts w:ascii="Courier New" w:hAnsi="Courier New"/>
        </w:rPr>
        <w:t>stageprop</w:t>
      </w:r>
      <w:r>
        <w:t xml:space="preserve"> so the language treats them as though they </w:t>
      </w:r>
      <w:r w:rsidRPr="00501570">
        <w:rPr>
          <w:i/>
        </w:rPr>
        <w:t>were</w:t>
      </w:r>
      <w:r>
        <w:t xml:space="preserve"> </w:t>
      </w:r>
      <w:r w:rsidRPr="004A05DF">
        <w:rPr>
          <w:rFonts w:ascii="Courier New" w:hAnsi="Courier New"/>
        </w:rPr>
        <w:t>const</w:t>
      </w:r>
      <w:r>
        <w:t xml:space="preserve"> in that Context. So </w:t>
      </w:r>
      <w:r w:rsidRPr="00501570">
        <w:rPr>
          <w:rFonts w:ascii="Courier New" w:hAnsi="Courier New"/>
        </w:rPr>
        <w:t>SOURCE_ACCOUNT</w:t>
      </w:r>
      <w:r>
        <w:t xml:space="preserve"> in PayBillis is declared like this:</w:t>
      </w:r>
    </w:p>
    <w:p w:rsidR="00501570" w:rsidRDefault="00501570" w:rsidP="004A05DF"/>
    <w:p w:rsidR="00501570" w:rsidRPr="004A05DF" w:rsidRDefault="00501570" w:rsidP="00501570">
      <w:pPr>
        <w:rPr>
          <w:rFonts w:ascii="Courier New" w:hAnsi="Courier New"/>
        </w:rPr>
      </w:pPr>
      <w:r w:rsidRPr="004A05DF">
        <w:rPr>
          <w:rFonts w:ascii="Courier New" w:hAnsi="Courier New"/>
        </w:rPr>
        <w:t xml:space="preserve">    </w:t>
      </w:r>
      <w:r>
        <w:rPr>
          <w:rFonts w:ascii="Courier New" w:hAnsi="Courier New"/>
        </w:rPr>
        <w:t>stageprop</w:t>
      </w:r>
      <w:r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eBalance(Currency amount) 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eBalance(Currency amount) 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message, Date dt, Currency amount) unused</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Pr>
          <w:rFonts w:ascii="Courier New" w:hAnsi="Courier New"/>
        </w:rPr>
        <w:t>a</w:t>
      </w:r>
      <w:r w:rsidRPr="004A05DF">
        <w:rPr>
          <w:rFonts w:ascii="Courier New" w:hAnsi="Courier New"/>
        </w:rPr>
        <w:t>t</w:t>
      </w:r>
      <w:r>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7C06AC" w:rsidRDefault="007C06AC" w:rsidP="004A05DF"/>
    <w:p w:rsidR="00077D65" w:rsidRPr="00A676D6" w:rsidRDefault="00501570" w:rsidP="004A05DF">
      <w:r>
        <w:t xml:space="preserve">This allows </w:t>
      </w:r>
      <w:r w:rsidRPr="00501570">
        <w:rPr>
          <w:rFonts w:ascii="Courier New" w:hAnsi="Courier New"/>
        </w:rPr>
        <w:t>SOURCE_ACCOUNT</w:t>
      </w:r>
      <w:r>
        <w:t xml:space="preserve"> to be declared as a </w:t>
      </w:r>
      <w:r>
        <w:rPr>
          <w:rFonts w:ascii="Courier New" w:hAnsi="Courier New"/>
        </w:rPr>
        <w:t>stageprop</w:t>
      </w:r>
      <w:r>
        <w:t xml:space="preserve"> in PayBills. Each of the </w:t>
      </w:r>
      <w:r w:rsidRPr="00501570">
        <w:rPr>
          <w:rFonts w:ascii="Courier New" w:hAnsi="Courier New"/>
        </w:rPr>
        <w:t>CREDITOR</w:t>
      </w:r>
      <w:r>
        <w:t xml:space="preserve"> Contexts can bind the same object to a Role (which may also be called </w:t>
      </w:r>
      <w:r w:rsidRPr="00501570">
        <w:rPr>
          <w:rFonts w:ascii="Courier New" w:hAnsi="Courier New"/>
        </w:rPr>
        <w:t>SOURCE_ACCOUNT</w:t>
      </w:r>
      <w:r>
        <w:rPr>
          <w:rFonts w:ascii="Courier New" w:hAnsi="Courier New"/>
        </w:rPr>
        <w:t xml:space="preserve"> </w:t>
      </w:r>
      <w:r>
        <w:t xml:space="preserve">— why not?) where </w:t>
      </w:r>
      <w:r w:rsidRPr="004A05DF">
        <w:rPr>
          <w:rFonts w:ascii="Courier New" w:hAnsi="Courier New"/>
        </w:rPr>
        <w:t>decreas</w:t>
      </w:r>
      <w:r>
        <w:rPr>
          <w:rFonts w:ascii="Courier New" w:hAnsi="Courier New"/>
        </w:rPr>
        <w:t>eBalance</w:t>
      </w:r>
      <w:r>
        <w:t xml:space="preserve"> is just an ordinary script that is adorned neither with a </w:t>
      </w:r>
      <w:r w:rsidRPr="004A05DF">
        <w:rPr>
          <w:rFonts w:ascii="Courier New" w:hAnsi="Courier New"/>
        </w:rPr>
        <w:t>const</w:t>
      </w:r>
      <w:r>
        <w:t xml:space="preserve"> nor an </w:t>
      </w:r>
      <w:r>
        <w:rPr>
          <w:rFonts w:ascii="Courier New" w:hAnsi="Courier New"/>
        </w:rPr>
        <w:t>unused</w:t>
      </w:r>
      <w:r>
        <w:t xml:space="preserve"> modifier. Since only one Creditor is in existence at any given time</w:t>
      </w:r>
      <w:r w:rsidR="007C06AC">
        <w:t xml:space="preserve"> (we pay bills one at a time)</w:t>
      </w:r>
      <w:r>
        <w:t xml:space="preserve">, the Role-player is ever bound to at most one Role — and one </w:t>
      </w:r>
      <w:r>
        <w:rPr>
          <w:rFonts w:ascii="Courier New" w:hAnsi="Courier New"/>
        </w:rPr>
        <w:t>stageprop</w:t>
      </w:r>
      <w:r w:rsidR="007C06AC">
        <w:t xml:space="preserve"> as well</w:t>
      </w:r>
      <w:r>
        <w:t>. There is no danger that one Context can modify the state of a Role-player bound to a Role in another Context.</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26446D"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4A05DF" w:rsidRDefault="004A05DF"/>
                <w:tbl>
                  <w:tblPr>
                    <w:tblStyle w:val="MediumGrid3-Accent3"/>
                    <w:tblW w:w="0" w:type="auto"/>
                    <w:jc w:val="center"/>
                    <w:tblLook w:val="0620"/>
                  </w:tblPr>
                  <w:tblGrid>
                    <w:gridCol w:w="1615"/>
                    <w:gridCol w:w="3959"/>
                  </w:tblGrid>
                  <w:tr w:rsidR="004A05DF">
                    <w:trPr>
                      <w:cnfStyle w:val="100000000000"/>
                      <w:trHeight w:val="238"/>
                      <w:jc w:val="center"/>
                    </w:trPr>
                    <w:tc>
                      <w:tcPr>
                        <w:tcW w:w="1615" w:type="dxa"/>
                        <w:shd w:val="clear" w:color="auto" w:fill="00B050"/>
                      </w:tcPr>
                      <w:p w:rsidR="004A05DF" w:rsidRDefault="004A05DF">
                        <w:r>
                          <w:t>Domain</w:t>
                        </w:r>
                      </w:p>
                    </w:tc>
                    <w:tc>
                      <w:tcPr>
                        <w:tcW w:w="3959" w:type="dxa"/>
                        <w:shd w:val="clear" w:color="auto" w:fill="00B050"/>
                      </w:tcPr>
                      <w:p w:rsidR="004A05DF" w:rsidRDefault="004A05DF" w:rsidP="00666917">
                        <w:pPr>
                          <w:jc w:val="center"/>
                        </w:pPr>
                        <w:r>
                          <w:t>Description</w:t>
                        </w:r>
                      </w:p>
                    </w:tc>
                  </w:tr>
                  <w:tr w:rsidR="004A05DF">
                    <w:trPr>
                      <w:trHeight w:val="238"/>
                      <w:jc w:val="center"/>
                    </w:trPr>
                    <w:tc>
                      <w:tcPr>
                        <w:tcW w:w="1615" w:type="dxa"/>
                      </w:tcPr>
                      <w:p w:rsidR="004A05DF" w:rsidRDefault="004A05DF">
                        <w:r>
                          <w:t>Document</w:t>
                        </w:r>
                      </w:p>
                    </w:tc>
                    <w:tc>
                      <w:tcPr>
                        <w:tcW w:w="3959" w:type="dxa"/>
                      </w:tcPr>
                      <w:p w:rsidR="004A05DF" w:rsidRDefault="004A05DF">
                        <w:r>
                          <w:t>Encapsulates the sequence of words from a manuscript</w:t>
                        </w:r>
                      </w:p>
                    </w:tc>
                  </w:tr>
                  <w:tr w:rsidR="004A05DF">
                    <w:trPr>
                      <w:trHeight w:val="255"/>
                      <w:jc w:val="center"/>
                    </w:trPr>
                    <w:tc>
                      <w:tcPr>
                        <w:tcW w:w="1615" w:type="dxa"/>
                      </w:tcPr>
                      <w:p w:rsidR="004A05DF" w:rsidRDefault="004A05DF">
                        <w:r>
                          <w:t>Word</w:t>
                        </w:r>
                      </w:p>
                    </w:tc>
                    <w:tc>
                      <w:tcPr>
                        <w:tcW w:w="3959" w:type="dxa"/>
                      </w:tcPr>
                      <w:p w:rsidR="004A05DF" w:rsidRDefault="004A05DF">
                        <w:r>
                          <w:t>A unit of spell-checkability, but it also includes units of punctuation and spacing</w:t>
                        </w:r>
                      </w:p>
                    </w:tc>
                  </w:tr>
                  <w:tr w:rsidR="004A05DF">
                    <w:trPr>
                      <w:trHeight w:val="255"/>
                      <w:jc w:val="center"/>
                    </w:trPr>
                    <w:tc>
                      <w:tcPr>
                        <w:tcW w:w="1615" w:type="dxa"/>
                      </w:tcPr>
                      <w:p w:rsidR="004A05DF" w:rsidRDefault="004A05DF">
                        <w:r>
                          <w:t>Dictionary</w:t>
                        </w:r>
                      </w:p>
                    </w:tc>
                    <w:tc>
                      <w:tcPr>
                        <w:tcW w:w="3959" w:type="dxa"/>
                      </w:tcPr>
                      <w:p w:rsidR="004A05DF" w:rsidRDefault="004A05DF">
                        <w:r>
                          <w:t>The locus of deciding whether a given word is spelled correctly or not, and an oracle that can provide suggested replacements for misspellings</w:t>
                        </w:r>
                      </w:p>
                    </w:tc>
                  </w:tr>
                </w:tbl>
                <w:p w:rsidR="004A05DF" w:rsidRDefault="004A05DF" w:rsidP="005C1C70"/>
                <w:p w:rsidR="004A05DF" w:rsidRPr="005A2997" w:rsidRDefault="004A05DF"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A72917">
      <w:pPr>
        <w:pStyle w:val="Heading3"/>
      </w:pPr>
      <w:r>
        <w:t>The narrative and user story</w:t>
      </w:r>
    </w:p>
    <w:p w:rsidR="00DF1ADA" w:rsidRPr="002805D2" w:rsidRDefault="00DF1ADA" w:rsidP="00A72917">
      <w:pPr>
        <w:keepLines/>
      </w:pPr>
    </w:p>
    <w:p w:rsidR="00E47346" w:rsidRDefault="00DF1ADA" w:rsidP="00A72917">
      <w:pPr>
        <w:keepLines/>
      </w:pPr>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26446D"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4A05DF" w:rsidRDefault="004A05DF" w:rsidP="00421316">
                  <w:pPr>
                    <w:spacing w:before="120"/>
                  </w:pPr>
                  <w:r>
                    <w:t>Author goal: A manuscript with perfect spelling</w:t>
                  </w:r>
                </w:p>
                <w:p w:rsidR="004A05DF" w:rsidRDefault="004A05DF" w:rsidP="005C1C70"/>
                <w:p w:rsidR="004A05DF" w:rsidRDefault="004A05DF" w:rsidP="005C1C70">
                  <w:r>
                    <w:t>Preconditions: The manuscript has been saved and is non-empty</w:t>
                  </w:r>
                </w:p>
                <w:p w:rsidR="004A05DF" w:rsidRDefault="004A05DF" w:rsidP="005C1C70"/>
                <w:p w:rsidR="004A05DF" w:rsidRDefault="004A05DF" w:rsidP="005C1C70">
                  <w:r>
                    <w:t>Post-condition: Misspelled words have optionally been corrected at the author's discretion. All other manuscript text is intact.</w:t>
                  </w:r>
                </w:p>
                <w:p w:rsidR="004A05DF" w:rsidRDefault="004A05DF" w:rsidP="005C1C70"/>
                <w:tbl>
                  <w:tblPr>
                    <w:tblStyle w:val="MediumGrid3-Accent3"/>
                    <w:tblW w:w="0" w:type="auto"/>
                    <w:jc w:val="center"/>
                    <w:tblLook w:val="0620"/>
                  </w:tblPr>
                  <w:tblGrid>
                    <w:gridCol w:w="533"/>
                    <w:gridCol w:w="1973"/>
                    <w:gridCol w:w="1974"/>
                    <w:gridCol w:w="2392"/>
                    <w:gridCol w:w="1975"/>
                    <w:gridCol w:w="2106"/>
                  </w:tblGrid>
                  <w:tr w:rsidR="004A05DF">
                    <w:trPr>
                      <w:cnfStyle w:val="100000000000"/>
                      <w:jc w:val="center"/>
                    </w:trPr>
                    <w:tc>
                      <w:tcPr>
                        <w:tcW w:w="534" w:type="dxa"/>
                        <w:shd w:val="clear" w:color="auto" w:fill="00B050"/>
                      </w:tcPr>
                      <w:p w:rsidR="004A05DF" w:rsidRDefault="004A05DF" w:rsidP="00E86C93"/>
                    </w:tc>
                    <w:tc>
                      <w:tcPr>
                        <w:tcW w:w="1984" w:type="dxa"/>
                        <w:shd w:val="clear" w:color="auto" w:fill="00B050"/>
                      </w:tcPr>
                      <w:p w:rsidR="004A05DF" w:rsidRDefault="004A05DF" w:rsidP="00E86C93">
                        <w:r>
                          <w:t>Author</w:t>
                        </w:r>
                      </w:p>
                    </w:tc>
                    <w:tc>
                      <w:tcPr>
                        <w:tcW w:w="1985" w:type="dxa"/>
                        <w:shd w:val="clear" w:color="auto" w:fill="00B050"/>
                      </w:tcPr>
                      <w:p w:rsidR="004A05DF" w:rsidRDefault="004A05DF" w:rsidP="00E86C93">
                        <w:r>
                          <w:t>Document</w:t>
                        </w:r>
                      </w:p>
                    </w:tc>
                    <w:tc>
                      <w:tcPr>
                        <w:tcW w:w="2409" w:type="dxa"/>
                        <w:shd w:val="clear" w:color="auto" w:fill="00B050"/>
                      </w:tcPr>
                      <w:p w:rsidR="004A05DF" w:rsidRDefault="004A05DF" w:rsidP="00E86C93">
                        <w:r>
                          <w:t>Words</w:t>
                        </w:r>
                      </w:p>
                    </w:tc>
                    <w:tc>
                      <w:tcPr>
                        <w:tcW w:w="1985" w:type="dxa"/>
                        <w:shd w:val="clear" w:color="auto" w:fill="00B050"/>
                      </w:tcPr>
                      <w:p w:rsidR="004A05DF" w:rsidRDefault="004A05DF" w:rsidP="00E86C93">
                        <w:r>
                          <w:t>Word</w:t>
                        </w:r>
                      </w:p>
                    </w:tc>
                    <w:tc>
                      <w:tcPr>
                        <w:tcW w:w="2119" w:type="dxa"/>
                        <w:shd w:val="clear" w:color="auto" w:fill="00B050"/>
                      </w:tcPr>
                      <w:p w:rsidR="004A05DF" w:rsidRDefault="004A05DF" w:rsidP="00E86C93">
                        <w:r>
                          <w:t>Dictionary</w:t>
                        </w:r>
                      </w:p>
                    </w:tc>
                  </w:tr>
                  <w:tr w:rsidR="004A05DF">
                    <w:trPr>
                      <w:jc w:val="center"/>
                    </w:trPr>
                    <w:tc>
                      <w:tcPr>
                        <w:tcW w:w="534" w:type="dxa"/>
                      </w:tcPr>
                      <w:p w:rsidR="004A05DF" w:rsidRDefault="004A05DF" w:rsidP="00E86C93">
                        <w:pPr>
                          <w:keepLines/>
                        </w:pPr>
                        <w:r>
                          <w:t>1.</w:t>
                        </w:r>
                      </w:p>
                    </w:tc>
                    <w:tc>
                      <w:tcPr>
                        <w:tcW w:w="1984" w:type="dxa"/>
                      </w:tcPr>
                      <w:p w:rsidR="004A05DF" w:rsidRDefault="004A05DF" w:rsidP="00E86C93">
                        <w:pPr>
                          <w:keepLines/>
                        </w:pPr>
                        <w:r>
                          <w:t>Ask to spell check a manuscript</w:t>
                        </w:r>
                      </w:p>
                    </w:tc>
                    <w:tc>
                      <w:tcPr>
                        <w:tcW w:w="1985" w:type="dxa"/>
                      </w:tcPr>
                      <w:p w:rsidR="004A05DF" w:rsidRDefault="004A05DF" w:rsidP="00E86C93">
                        <w:pPr>
                          <w:keepLines/>
                        </w:pPr>
                        <w:r>
                          <w:t>Requests that Words build itself from the manuscript</w:t>
                        </w:r>
                      </w:p>
                    </w:tc>
                    <w:tc>
                      <w:tcPr>
                        <w:tcW w:w="2409" w:type="dxa"/>
                      </w:tcPr>
                      <w:p w:rsidR="004A05DF" w:rsidRDefault="004A05DF" w:rsidP="00E86C93">
                        <w:pPr>
                          <w:keepLines/>
                        </w:pP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tcPr>
                      <w:p w:rsidR="004A05DF" w:rsidRDefault="004A05DF" w:rsidP="00E86C93">
                        <w:pPr>
                          <w:keepLines/>
                        </w:pPr>
                        <w:r>
                          <w:t>2.</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r>
                          <w:t>Divides the documents into individual Words</w:t>
                        </w: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tcPr>
                      <w:p w:rsidR="004A05DF" w:rsidRDefault="004A05DF" w:rsidP="00E86C93">
                        <w:pPr>
                          <w:keepLines/>
                        </w:pPr>
                        <w:r>
                          <w:t>3.</w:t>
                        </w:r>
                      </w:p>
                    </w:tc>
                    <w:tc>
                      <w:tcPr>
                        <w:tcW w:w="1984" w:type="dxa"/>
                      </w:tcPr>
                      <w:p w:rsidR="004A05DF" w:rsidRDefault="004A05DF" w:rsidP="00E86C93">
                        <w:pPr>
                          <w:keepLines/>
                        </w:pPr>
                      </w:p>
                    </w:tc>
                    <w:tc>
                      <w:tcPr>
                        <w:tcW w:w="1985" w:type="dxa"/>
                      </w:tcPr>
                      <w:p w:rsidR="004A05DF" w:rsidRDefault="004A05DF" w:rsidP="00E86C93">
                        <w:pPr>
                          <w:keepLines/>
                        </w:pPr>
                        <w:r>
                          <w:t>Asks Words to spell-check itself</w:t>
                        </w:r>
                      </w:p>
                    </w:tc>
                    <w:tc>
                      <w:tcPr>
                        <w:tcW w:w="2409" w:type="dxa"/>
                      </w:tcPr>
                      <w:p w:rsidR="004A05DF" w:rsidRDefault="004A05DF" w:rsidP="00E86C93">
                        <w:pPr>
                          <w:keepLines/>
                        </w:pPr>
                        <w:r>
                          <w:t>Asks the current word to spell-check itself</w:t>
                        </w: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tcPr>
                      <w:p w:rsidR="004A05DF" w:rsidRDefault="004A05DF" w:rsidP="00E86C93">
                        <w:pPr>
                          <w:keepLines/>
                        </w:pPr>
                        <w:r>
                          <w:t>4.</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r>
                          <w:t>Asks Dictionary if it contains the text for my appearance in the document</w:t>
                        </w:r>
                      </w:p>
                    </w:tc>
                    <w:tc>
                      <w:tcPr>
                        <w:tcW w:w="2119" w:type="dxa"/>
                      </w:tcPr>
                      <w:p w:rsidR="004A05DF" w:rsidRDefault="004A05DF" w:rsidP="00E86C93"/>
                    </w:tc>
                  </w:tr>
                  <w:tr w:rsidR="004A05DF">
                    <w:trPr>
                      <w:jc w:val="center"/>
                    </w:trPr>
                    <w:tc>
                      <w:tcPr>
                        <w:tcW w:w="534" w:type="dxa"/>
                      </w:tcPr>
                      <w:p w:rsidR="004A05DF" w:rsidRDefault="004A05DF" w:rsidP="00E86C93">
                        <w:pPr>
                          <w:keepLines/>
                        </w:pPr>
                        <w:r>
                          <w:t>5.</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p>
                    </w:tc>
                    <w:tc>
                      <w:tcPr>
                        <w:tcW w:w="2119" w:type="dxa"/>
                      </w:tcPr>
                      <w:p w:rsidR="004A05DF" w:rsidRDefault="004A05DF" w:rsidP="00E86C93">
                        <w:r>
                          <w:t>Looks up the word and, if incorrectly spelled, returns a suggested spelling</w:t>
                        </w:r>
                      </w:p>
                    </w:tc>
                  </w:tr>
                  <w:tr w:rsidR="004A05DF">
                    <w:trPr>
                      <w:jc w:val="center"/>
                    </w:trPr>
                    <w:tc>
                      <w:tcPr>
                        <w:tcW w:w="534" w:type="dxa"/>
                      </w:tcPr>
                      <w:p w:rsidR="004A05DF" w:rsidRDefault="004A05DF" w:rsidP="00E86C93">
                        <w:pPr>
                          <w:keepLines/>
                        </w:pPr>
                        <w:r>
                          <w:t>6.</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r>
                          <w:t>Asks the author to validate the spelling</w:t>
                        </w:r>
                      </w:p>
                    </w:tc>
                    <w:tc>
                      <w:tcPr>
                        <w:tcW w:w="2119" w:type="dxa"/>
                      </w:tcPr>
                      <w:p w:rsidR="004A05DF" w:rsidRDefault="004A05DF" w:rsidP="00E86C93"/>
                    </w:tc>
                  </w:tr>
                  <w:tr w:rsidR="004A05DF">
                    <w:trPr>
                      <w:jc w:val="center"/>
                    </w:trPr>
                    <w:tc>
                      <w:tcPr>
                        <w:tcW w:w="534" w:type="dxa"/>
                      </w:tcPr>
                      <w:p w:rsidR="004A05DF" w:rsidRDefault="004A05DF" w:rsidP="00E86C93">
                        <w:pPr>
                          <w:keepLines/>
                        </w:pPr>
                        <w:r>
                          <w:t>7.</w:t>
                        </w:r>
                      </w:p>
                    </w:tc>
                    <w:tc>
                      <w:tcPr>
                        <w:tcW w:w="1984" w:type="dxa"/>
                      </w:tcPr>
                      <w:p w:rsidR="004A05DF" w:rsidRDefault="004A05DF" w:rsidP="00E86C93">
                        <w:pPr>
                          <w:keepLines/>
                        </w:pPr>
                        <w:r>
                          <w:t>Verifies the suggested spelling</w:t>
                        </w: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tcPr>
                      <w:p w:rsidR="004A05DF" w:rsidRDefault="004A05DF" w:rsidP="00E86C93">
                        <w:pPr>
                          <w:keepLines/>
                        </w:pPr>
                        <w:r>
                          <w:t>8.</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r>
                          <w:t>Replaces itself with the suggested word</w:t>
                        </w:r>
                      </w:p>
                    </w:tc>
                    <w:tc>
                      <w:tcPr>
                        <w:tcW w:w="2119" w:type="dxa"/>
                      </w:tcPr>
                      <w:p w:rsidR="004A05DF" w:rsidRDefault="004A05DF" w:rsidP="00E86C93"/>
                    </w:tc>
                  </w:tr>
                  <w:tr w:rsidR="004A05DF">
                    <w:trPr>
                      <w:jc w:val="center"/>
                    </w:trPr>
                    <w:tc>
                      <w:tcPr>
                        <w:tcW w:w="534" w:type="dxa"/>
                      </w:tcPr>
                      <w:p w:rsidR="004A05DF" w:rsidRDefault="004A05DF" w:rsidP="00E86C93">
                        <w:pPr>
                          <w:keepLines/>
                        </w:pPr>
                        <w:r>
                          <w:t>9.</w:t>
                        </w:r>
                      </w:p>
                    </w:tc>
                    <w:tc>
                      <w:tcPr>
                        <w:tcW w:w="1984" w:type="dxa"/>
                      </w:tcPr>
                      <w:p w:rsidR="004A05DF" w:rsidRDefault="004A05DF" w:rsidP="00E86C93">
                        <w:pPr>
                          <w:keepLines/>
                        </w:pPr>
                      </w:p>
                    </w:tc>
                    <w:tc>
                      <w:tcPr>
                        <w:tcW w:w="1985" w:type="dxa"/>
                      </w:tcPr>
                      <w:p w:rsidR="004A05DF" w:rsidRDefault="004A05DF" w:rsidP="00E86C93">
                        <w:pPr>
                          <w:keepLines/>
                        </w:pPr>
                      </w:p>
                    </w:tc>
                    <w:tc>
                      <w:tcPr>
                        <w:tcW w:w="2409" w:type="dxa"/>
                      </w:tcPr>
                      <w:p w:rsidR="004A05DF" w:rsidRDefault="004A05DF" w:rsidP="00E86C93">
                        <w:pPr>
                          <w:keepLines/>
                        </w:pPr>
                      </w:p>
                    </w:tc>
                    <w:tc>
                      <w:tcPr>
                        <w:tcW w:w="1985" w:type="dxa"/>
                      </w:tcPr>
                      <w:p w:rsidR="004A05DF" w:rsidRDefault="004A05DF" w:rsidP="00E86C93">
                        <w:pPr>
                          <w:keepLines/>
                        </w:pPr>
                        <w:r>
                          <w:t>Asks the next word (if any) to spell-check itself (NOTE: This causes looping back to step 3)</w:t>
                        </w:r>
                      </w:p>
                    </w:tc>
                    <w:tc>
                      <w:tcPr>
                        <w:tcW w:w="2119" w:type="dxa"/>
                      </w:tcPr>
                      <w:p w:rsidR="004A05DF" w:rsidRDefault="004A05DF" w:rsidP="00E86C93"/>
                    </w:tc>
                  </w:tr>
                  <w:tr w:rsidR="004A05DF">
                    <w:trPr>
                      <w:jc w:val="center"/>
                    </w:trPr>
                    <w:tc>
                      <w:tcPr>
                        <w:tcW w:w="534" w:type="dxa"/>
                      </w:tcPr>
                      <w:p w:rsidR="004A05DF" w:rsidRDefault="004A05DF" w:rsidP="00E86C93">
                        <w:pPr>
                          <w:keepLines/>
                        </w:pPr>
                        <w:r>
                          <w:t>10.</w:t>
                        </w:r>
                      </w:p>
                    </w:tc>
                    <w:tc>
                      <w:tcPr>
                        <w:tcW w:w="1984" w:type="dxa"/>
                      </w:tcPr>
                      <w:p w:rsidR="004A05DF" w:rsidRDefault="004A05DF" w:rsidP="00E86C93">
                        <w:pPr>
                          <w:keepLines/>
                        </w:pPr>
                      </w:p>
                    </w:tc>
                    <w:tc>
                      <w:tcPr>
                        <w:tcW w:w="1985" w:type="dxa"/>
                      </w:tcPr>
                      <w:p w:rsidR="004A05DF" w:rsidRDefault="004A05DF" w:rsidP="00E86C93">
                        <w:pPr>
                          <w:keepLines/>
                        </w:pPr>
                        <w:r>
                          <w:t>Deliver corrected document to the author</w:t>
                        </w:r>
                      </w:p>
                    </w:tc>
                    <w:tc>
                      <w:tcPr>
                        <w:tcW w:w="2409" w:type="dxa"/>
                      </w:tcPr>
                      <w:p w:rsidR="004A05DF" w:rsidRDefault="004A05DF" w:rsidP="00E86C93">
                        <w:pPr>
                          <w:keepLines/>
                        </w:pPr>
                      </w:p>
                    </w:tc>
                    <w:tc>
                      <w:tcPr>
                        <w:tcW w:w="1985" w:type="dxa"/>
                      </w:tcPr>
                      <w:p w:rsidR="004A05DF" w:rsidRDefault="004A05DF" w:rsidP="00E86C93">
                        <w:pPr>
                          <w:keepLines/>
                        </w:pPr>
                      </w:p>
                    </w:tc>
                    <w:tc>
                      <w:tcPr>
                        <w:tcW w:w="2119" w:type="dxa"/>
                      </w:tcPr>
                      <w:p w:rsidR="004A05DF" w:rsidRDefault="004A05DF" w:rsidP="00E86C93"/>
                    </w:tc>
                  </w:tr>
                  <w:tr w:rsidR="004A05DF">
                    <w:trPr>
                      <w:jc w:val="center"/>
                    </w:trPr>
                    <w:tc>
                      <w:tcPr>
                        <w:tcW w:w="534" w:type="dxa"/>
                        <w:shd w:val="clear" w:color="auto" w:fill="E6EED5"/>
                      </w:tcPr>
                      <w:p w:rsidR="004A05DF" w:rsidRDefault="004A05DF" w:rsidP="00E86C93">
                        <w:pPr>
                          <w:rPr>
                            <w:b/>
                            <w:bCs/>
                          </w:rPr>
                        </w:pPr>
                      </w:p>
                    </w:tc>
                    <w:tc>
                      <w:tcPr>
                        <w:tcW w:w="1984" w:type="dxa"/>
                        <w:shd w:val="clear" w:color="auto" w:fill="E6EED5"/>
                      </w:tcPr>
                      <w:p w:rsidR="004A05DF" w:rsidRDefault="004A05DF" w:rsidP="00E86C93">
                        <w:pPr>
                          <w:rPr>
                            <w:b/>
                            <w:bCs/>
                          </w:rPr>
                        </w:pPr>
                      </w:p>
                    </w:tc>
                    <w:tc>
                      <w:tcPr>
                        <w:tcW w:w="1985" w:type="dxa"/>
                        <w:shd w:val="clear" w:color="auto" w:fill="E6EED5"/>
                      </w:tcPr>
                      <w:p w:rsidR="004A05DF" w:rsidRDefault="004A05DF" w:rsidP="00E86C93">
                        <w:pPr>
                          <w:rPr>
                            <w:b/>
                            <w:bCs/>
                          </w:rPr>
                        </w:pPr>
                      </w:p>
                    </w:tc>
                    <w:tc>
                      <w:tcPr>
                        <w:tcW w:w="2409" w:type="dxa"/>
                        <w:shd w:val="clear" w:color="auto" w:fill="E6EED5"/>
                      </w:tcPr>
                      <w:p w:rsidR="004A05DF" w:rsidRDefault="004A05DF" w:rsidP="00E86C93">
                        <w:pPr>
                          <w:rPr>
                            <w:b/>
                            <w:bCs/>
                          </w:rPr>
                        </w:pPr>
                      </w:p>
                    </w:tc>
                    <w:tc>
                      <w:tcPr>
                        <w:tcW w:w="1985" w:type="dxa"/>
                        <w:shd w:val="clear" w:color="auto" w:fill="E6EED5"/>
                      </w:tcPr>
                      <w:p w:rsidR="004A05DF" w:rsidRDefault="004A05DF" w:rsidP="00E86C93">
                        <w:pPr>
                          <w:rPr>
                            <w:b/>
                            <w:bCs/>
                          </w:rPr>
                        </w:pPr>
                      </w:p>
                    </w:tc>
                    <w:tc>
                      <w:tcPr>
                        <w:tcW w:w="2119" w:type="dxa"/>
                        <w:shd w:val="clear" w:color="auto" w:fill="E6EED5"/>
                      </w:tcPr>
                      <w:p w:rsidR="004A05DF" w:rsidRDefault="004A05DF" w:rsidP="00E86C93">
                        <w:pPr>
                          <w:rPr>
                            <w:b/>
                            <w:bCs/>
                          </w:rPr>
                        </w:pPr>
                      </w:p>
                    </w:tc>
                  </w:tr>
                </w:tbl>
                <w:p w:rsidR="004A05DF" w:rsidRDefault="004A05DF" w:rsidP="005C1C70"/>
                <w:p w:rsidR="004A05DF" w:rsidRPr="005A2997" w:rsidRDefault="004A05DF"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26446D"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4A05DF" w:rsidRDefault="004A05DF" w:rsidP="002C0789"/>
                <w:tbl>
                  <w:tblPr>
                    <w:tblStyle w:val="MediumGrid3-Accent3"/>
                    <w:tblW w:w="0" w:type="auto"/>
                    <w:jc w:val="center"/>
                    <w:tblLook w:val="0620"/>
                  </w:tblPr>
                  <w:tblGrid>
                    <w:gridCol w:w="505"/>
                    <w:gridCol w:w="3577"/>
                    <w:gridCol w:w="6319"/>
                  </w:tblGrid>
                  <w:tr w:rsidR="004A05DF">
                    <w:trPr>
                      <w:cnfStyle w:val="100000000000"/>
                      <w:trHeight w:val="101"/>
                      <w:jc w:val="center"/>
                    </w:trPr>
                    <w:tc>
                      <w:tcPr>
                        <w:tcW w:w="505" w:type="dxa"/>
                        <w:shd w:val="clear" w:color="auto" w:fill="00B050"/>
                      </w:tcPr>
                      <w:p w:rsidR="004A05DF" w:rsidRDefault="004A05DF" w:rsidP="00E86C93"/>
                    </w:tc>
                    <w:tc>
                      <w:tcPr>
                        <w:tcW w:w="3577" w:type="dxa"/>
                        <w:shd w:val="clear" w:color="auto" w:fill="00B050"/>
                      </w:tcPr>
                      <w:p w:rsidR="004A05DF" w:rsidRDefault="004A05DF" w:rsidP="00E86C93">
                        <w:r>
                          <w:t>Author</w:t>
                        </w:r>
                      </w:p>
                    </w:tc>
                    <w:tc>
                      <w:tcPr>
                        <w:tcW w:w="6319" w:type="dxa"/>
                        <w:shd w:val="clear" w:color="auto" w:fill="00B050"/>
                      </w:tcPr>
                      <w:p w:rsidR="004A05DF" w:rsidRDefault="004A05DF" w:rsidP="00E86C93">
                        <w:r>
                          <w:t>Document</w:t>
                        </w:r>
                      </w:p>
                    </w:tc>
                  </w:tr>
                  <w:tr w:rsidR="004A05DF">
                    <w:trPr>
                      <w:trHeight w:val="738"/>
                      <w:jc w:val="center"/>
                    </w:trPr>
                    <w:tc>
                      <w:tcPr>
                        <w:tcW w:w="505" w:type="dxa"/>
                      </w:tcPr>
                      <w:p w:rsidR="004A05DF" w:rsidRDefault="004A05DF" w:rsidP="00E86C93">
                        <w:pPr>
                          <w:keepLines/>
                        </w:pPr>
                        <w:r>
                          <w:t>4a.</w:t>
                        </w:r>
                      </w:p>
                    </w:tc>
                    <w:tc>
                      <w:tcPr>
                        <w:tcW w:w="3577" w:type="dxa"/>
                      </w:tcPr>
                      <w:p w:rsidR="004A05DF" w:rsidRDefault="004A05DF" w:rsidP="00E86C93">
                        <w:pPr>
                          <w:keepLines/>
                        </w:pPr>
                        <w:r>
                          <w:t>Dictionary does not contain the word</w:t>
                        </w:r>
                      </w:p>
                    </w:tc>
                    <w:tc>
                      <w:tcPr>
                        <w:tcW w:w="6319" w:type="dxa"/>
                      </w:tcPr>
                      <w:p w:rsidR="004A05DF" w:rsidRDefault="004A05DF" w:rsidP="00E86C93">
                        <w:pPr>
                          <w:keepLines/>
                        </w:pPr>
                        <w:r>
                          <w:t>Apply simple rules to strip plural and generative suffixes from the word and try again. Failing this, assume the word is misspelled</w:t>
                        </w:r>
                      </w:p>
                    </w:tc>
                  </w:tr>
                  <w:tr w:rsidR="004A05DF">
                    <w:trPr>
                      <w:trHeight w:val="738"/>
                      <w:jc w:val="center"/>
                    </w:trPr>
                    <w:tc>
                      <w:tcPr>
                        <w:tcW w:w="505" w:type="dxa"/>
                      </w:tcPr>
                      <w:p w:rsidR="004A05DF" w:rsidRDefault="004A05DF" w:rsidP="00E86C93">
                        <w:pPr>
                          <w:keepLines/>
                        </w:pPr>
                        <w:r>
                          <w:t>6a.</w:t>
                        </w:r>
                      </w:p>
                    </w:tc>
                    <w:tc>
                      <w:tcPr>
                        <w:tcW w:w="3577" w:type="dxa"/>
                      </w:tcPr>
                      <w:p w:rsidR="004A05DF" w:rsidRDefault="004A05DF" w:rsidP="00E86C93">
                        <w:pPr>
                          <w:keepLines/>
                        </w:pPr>
                        <w:r>
                          <w:t>Author doesn't answer "Yes" or "No"</w:t>
                        </w:r>
                      </w:p>
                    </w:tc>
                    <w:tc>
                      <w:tcPr>
                        <w:tcW w:w="6319" w:type="dxa"/>
                      </w:tcPr>
                      <w:p w:rsidR="004A05DF" w:rsidRDefault="004A05DF" w:rsidP="00E86C93">
                        <w:pPr>
                          <w:keepLines/>
                        </w:pPr>
                        <w:r>
                          <w:t>Assume the author has himself or herself provided a substitute word. Verify the substitution with the author</w:t>
                        </w:r>
                      </w:p>
                    </w:tc>
                  </w:tr>
                  <w:tr w:rsidR="004A05DF">
                    <w:trPr>
                      <w:trHeight w:val="738"/>
                      <w:jc w:val="center"/>
                    </w:trPr>
                    <w:tc>
                      <w:tcPr>
                        <w:tcW w:w="505" w:type="dxa"/>
                      </w:tcPr>
                      <w:p w:rsidR="004A05DF" w:rsidRDefault="004A05DF" w:rsidP="00E86C93">
                        <w:pPr>
                          <w:keepLines/>
                        </w:pPr>
                        <w:r>
                          <w:t>7a.</w:t>
                        </w:r>
                      </w:p>
                    </w:tc>
                    <w:tc>
                      <w:tcPr>
                        <w:tcW w:w="3577" w:type="dxa"/>
                      </w:tcPr>
                      <w:p w:rsidR="004A05DF" w:rsidRDefault="004A05DF" w:rsidP="00E86C93">
                        <w:pPr>
                          <w:keepLines/>
                        </w:pPr>
                        <w:r>
                          <w:t>Author elects to exit spell checking</w:t>
                        </w:r>
                      </w:p>
                    </w:tc>
                    <w:tc>
                      <w:tcPr>
                        <w:tcW w:w="6319" w:type="dxa"/>
                      </w:tcPr>
                      <w:p w:rsidR="004A05DF" w:rsidRDefault="004A05DF" w:rsidP="00E86C93">
                        <w:pPr>
                          <w:keepLines/>
                        </w:pPr>
                        <w:r>
                          <w:t>Spell checking terminates (Do we return the cursor to the location where the author was when initiating spell checking, or to the last substituted word?)</w:t>
                        </w:r>
                      </w:p>
                    </w:tc>
                  </w:tr>
                </w:tbl>
                <w:p w:rsidR="004A05DF" w:rsidRDefault="004A05DF" w:rsidP="002C0789"/>
                <w:p w:rsidR="004A05DF" w:rsidRPr="005A2997" w:rsidRDefault="004A05DF"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This class is a simple, small dictionary that is the actual implementation of a dictionary the program will consult to validate word spelling. The hear</w:t>
      </w:r>
      <w:r w:rsidR="00A851FB">
        <w:t>t</w:t>
      </w:r>
      <w:r>
        <w:t xml:space="preserve">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w:t>
      </w:r>
      <w:r w:rsidR="00D11827">
        <w:t>index</w:t>
      </w:r>
      <w:r>
        <w:t xml:space="preserve">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w:t>
      </w:r>
      <w:r w:rsidR="00F26599">
        <w:rPr>
          <w:rFonts w:ascii="Courier New" w:hAnsi="Courier New"/>
        </w:rPr>
        <w:t>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 xml:space="preserve">Returns the closet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BD629A" w:rsidP="00662906">
                  <w:pPr>
                    <w:tabs>
                      <w:tab w:val="left" w:pos="1680"/>
                    </w:tabs>
                    <w:rPr>
                      <w:rFonts w:asciiTheme="majorHAnsi" w:hAnsiTheme="majorHAnsi"/>
                    </w:rPr>
                  </w:pPr>
                  <w:r>
                    <w:rPr>
                      <w:rFonts w:ascii="Courier New" w:hAnsi="Courier New"/>
                      <w:b/>
                    </w:rPr>
                    <w:t>getX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BD629A" w:rsidP="00AB0F17">
                  <w:pPr>
                    <w:tabs>
                      <w:tab w:val="left" w:pos="1680"/>
                    </w:tabs>
                    <w:rPr>
                      <w:rFonts w:asciiTheme="majorHAnsi" w:hAnsiTheme="majorHAnsi"/>
                    </w:rPr>
                  </w:pPr>
                  <w:r>
                    <w:rPr>
                      <w:rFonts w:ascii="Courier New" w:hAnsi="Courier New"/>
                      <w:b/>
                    </w:rPr>
                    <w:t>getY</w:t>
                  </w:r>
                  <w:r w:rsidR="00AB0F17">
                    <w:rPr>
                      <w:rFonts w:ascii="Courier New" w:hAnsi="Courier New"/>
                      <w:b/>
                    </w:rPr>
                    <w:t>()</w:t>
                  </w:r>
                  <w:r w:rsidR="00AB0F17">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05DF" w:rsidRDefault="004A05DF">
      <w:r>
        <w:separator/>
      </w:r>
    </w:p>
  </w:endnote>
  <w:endnote w:type="continuationSeparator" w:id="0">
    <w:p w:rsidR="004A05DF" w:rsidRDefault="004A05D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05DF" w:rsidRDefault="004A05DF">
      <w:r>
        <w:separator/>
      </w:r>
    </w:p>
  </w:footnote>
  <w:footnote w:type="continuationSeparator" w:id="0">
    <w:p w:rsidR="004A05DF" w:rsidRDefault="004A05DF">
      <w:r>
        <w:continuationSeparator/>
      </w:r>
    </w:p>
  </w:footnote>
  <w:footnote w:id="1">
    <w:p w:rsidR="004A05DF" w:rsidRDefault="004A05DF">
      <w:pPr>
        <w:pStyle w:val="FootnoteText"/>
      </w:pPr>
      <w:r>
        <w:rPr>
          <w:rStyle w:val="FootnoteReference"/>
        </w:rPr>
        <w:footnoteRef/>
      </w:r>
      <w:r>
        <w:t xml:space="preserve"> Actually, if you use </w:t>
      </w:r>
      <w:r w:rsidRPr="00A802A8">
        <w:rPr>
          <w:b/>
        </w:rPr>
        <w:t>trygve</w:t>
      </w:r>
      <w:r>
        <w:t xml:space="preserve"> primitives like read that cause the current execution of sequence to pause, another activity (such as pressing a key on a keyboard or moving the mouse) may enact another script on the same object. But that is the exceptional case. For more about this, see the documentation on Panel and particularly on the </w:t>
      </w:r>
      <w:r w:rsidRPr="00A802A8">
        <w:rPr>
          <w:rFonts w:ascii="Courier New" w:hAnsi="Courier New"/>
        </w:rPr>
        <w:t>handleEvent</w:t>
      </w:r>
      <w:r>
        <w:t xml:space="preserve"> script.</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4A05DF" w:rsidRDefault="004A05DF" w:rsidP="00720DCA">
              <w:pPr>
                <w:pStyle w:val="Header"/>
              </w:pPr>
              <w:r>
                <w:t>the trygve programming language</w:t>
              </w:r>
            </w:p>
          </w:sdtContent>
        </w:sdt>
        <w:p w:rsidR="004A05DF" w:rsidRDefault="004A05DF">
          <w:pPr>
            <w:pStyle w:val="Header"/>
          </w:pPr>
          <w:fldSimple w:instr=" page ">
            <w:r w:rsidR="007C06AC">
              <w:rPr>
                <w:noProof/>
              </w:rPr>
              <w:t>48</w:t>
            </w:r>
          </w:fldSimple>
        </w:p>
      </w:tc>
    </w:tr>
  </w:tbl>
  <w:p w:rsidR="004A05DF" w:rsidRDefault="004A05DF"/>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4A05DF" w:rsidRDefault="004A05DF">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rsidR="00501570">
            <w:t>Gertrud&amp;Cope</w:t>
          </w:r>
          <w:r>
            <w:fldChar w:fldCharType="end"/>
          </w:r>
        </w:p>
        <w:p w:rsidR="004A05DF" w:rsidRDefault="004A05DF">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rsidR="00501570">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rsidR="00501570">
            <w:t>Espergærde,</w:t>
          </w:r>
          <w:r w:rsidR="00501570">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rsidR="00501570">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rsidR="00501570">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rsidR="00501570">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rsidR="00501570">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rsidR="00501570">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rsidR="00501570">
            <w:t>[Web Address]</w:t>
          </w:r>
          <w:r>
            <w:fldChar w:fldCharType="end"/>
          </w:r>
        </w:p>
      </w:tc>
    </w:tr>
  </w:tbl>
  <w:p w:rsidR="004A05DF" w:rsidRDefault="004A05DF"/>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2EF3"/>
    <w:rsid w:val="00024E9D"/>
    <w:rsid w:val="00032931"/>
    <w:rsid w:val="00032C62"/>
    <w:rsid w:val="0003344E"/>
    <w:rsid w:val="000359FE"/>
    <w:rsid w:val="00054E09"/>
    <w:rsid w:val="00077D65"/>
    <w:rsid w:val="0008245F"/>
    <w:rsid w:val="00082F73"/>
    <w:rsid w:val="0008366A"/>
    <w:rsid w:val="00087F74"/>
    <w:rsid w:val="000909F1"/>
    <w:rsid w:val="000943C2"/>
    <w:rsid w:val="00097BBC"/>
    <w:rsid w:val="000A0D18"/>
    <w:rsid w:val="000A1F3C"/>
    <w:rsid w:val="000A3279"/>
    <w:rsid w:val="000A6CEB"/>
    <w:rsid w:val="000B1A2D"/>
    <w:rsid w:val="000B318D"/>
    <w:rsid w:val="000C672B"/>
    <w:rsid w:val="000D4E7F"/>
    <w:rsid w:val="000F3C79"/>
    <w:rsid w:val="000F49DA"/>
    <w:rsid w:val="000F7442"/>
    <w:rsid w:val="00112576"/>
    <w:rsid w:val="00113EA0"/>
    <w:rsid w:val="001140AE"/>
    <w:rsid w:val="00131952"/>
    <w:rsid w:val="0013206B"/>
    <w:rsid w:val="00133327"/>
    <w:rsid w:val="0013350C"/>
    <w:rsid w:val="00134D06"/>
    <w:rsid w:val="0013523D"/>
    <w:rsid w:val="001378CF"/>
    <w:rsid w:val="00145DA7"/>
    <w:rsid w:val="00154727"/>
    <w:rsid w:val="00155F6E"/>
    <w:rsid w:val="00161322"/>
    <w:rsid w:val="001658FA"/>
    <w:rsid w:val="001706DA"/>
    <w:rsid w:val="00171544"/>
    <w:rsid w:val="0017745C"/>
    <w:rsid w:val="00177C97"/>
    <w:rsid w:val="001803A8"/>
    <w:rsid w:val="001845C8"/>
    <w:rsid w:val="0018797F"/>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7ABD"/>
    <w:rsid w:val="001F0CA8"/>
    <w:rsid w:val="001F421D"/>
    <w:rsid w:val="001F6229"/>
    <w:rsid w:val="00212B96"/>
    <w:rsid w:val="00214209"/>
    <w:rsid w:val="00216009"/>
    <w:rsid w:val="00217ED8"/>
    <w:rsid w:val="00220FE3"/>
    <w:rsid w:val="00223E42"/>
    <w:rsid w:val="00226D9B"/>
    <w:rsid w:val="00234981"/>
    <w:rsid w:val="002456D3"/>
    <w:rsid w:val="0025750F"/>
    <w:rsid w:val="0025759D"/>
    <w:rsid w:val="002614DD"/>
    <w:rsid w:val="0026446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06E7E"/>
    <w:rsid w:val="00313F28"/>
    <w:rsid w:val="003150B0"/>
    <w:rsid w:val="00331E9E"/>
    <w:rsid w:val="003373A7"/>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0B4"/>
    <w:rsid w:val="004637D0"/>
    <w:rsid w:val="0047292F"/>
    <w:rsid w:val="004830F6"/>
    <w:rsid w:val="00485521"/>
    <w:rsid w:val="00493DA0"/>
    <w:rsid w:val="00494AED"/>
    <w:rsid w:val="004A05DF"/>
    <w:rsid w:val="004B18F7"/>
    <w:rsid w:val="004B5888"/>
    <w:rsid w:val="004B6AA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1570"/>
    <w:rsid w:val="005023C2"/>
    <w:rsid w:val="00514DBB"/>
    <w:rsid w:val="00547A6D"/>
    <w:rsid w:val="00556DF7"/>
    <w:rsid w:val="0057263F"/>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299C"/>
    <w:rsid w:val="00625F53"/>
    <w:rsid w:val="00630121"/>
    <w:rsid w:val="00634155"/>
    <w:rsid w:val="006350CE"/>
    <w:rsid w:val="006360A5"/>
    <w:rsid w:val="0064098E"/>
    <w:rsid w:val="00651E18"/>
    <w:rsid w:val="00654E13"/>
    <w:rsid w:val="00655A58"/>
    <w:rsid w:val="006562AE"/>
    <w:rsid w:val="00662906"/>
    <w:rsid w:val="00666917"/>
    <w:rsid w:val="006714F1"/>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06AC"/>
    <w:rsid w:val="007C4110"/>
    <w:rsid w:val="007F111B"/>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586C"/>
    <w:rsid w:val="008560F8"/>
    <w:rsid w:val="0085785B"/>
    <w:rsid w:val="008614E4"/>
    <w:rsid w:val="00861EC4"/>
    <w:rsid w:val="0086669C"/>
    <w:rsid w:val="00866724"/>
    <w:rsid w:val="008667A3"/>
    <w:rsid w:val="008670EE"/>
    <w:rsid w:val="00870B96"/>
    <w:rsid w:val="00882520"/>
    <w:rsid w:val="008871B3"/>
    <w:rsid w:val="0088739B"/>
    <w:rsid w:val="008A2419"/>
    <w:rsid w:val="008A5FE4"/>
    <w:rsid w:val="008A7746"/>
    <w:rsid w:val="008A7C15"/>
    <w:rsid w:val="008B0AD0"/>
    <w:rsid w:val="008C454F"/>
    <w:rsid w:val="008D114B"/>
    <w:rsid w:val="008E1331"/>
    <w:rsid w:val="008E7374"/>
    <w:rsid w:val="008F2D88"/>
    <w:rsid w:val="008F7206"/>
    <w:rsid w:val="008F7A11"/>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2917"/>
    <w:rsid w:val="00A7504D"/>
    <w:rsid w:val="00A754CD"/>
    <w:rsid w:val="00A802A8"/>
    <w:rsid w:val="00A82D2E"/>
    <w:rsid w:val="00A851FB"/>
    <w:rsid w:val="00A8594F"/>
    <w:rsid w:val="00A91854"/>
    <w:rsid w:val="00A978D0"/>
    <w:rsid w:val="00AA338C"/>
    <w:rsid w:val="00AB0F17"/>
    <w:rsid w:val="00AC3E66"/>
    <w:rsid w:val="00AC437B"/>
    <w:rsid w:val="00AC4584"/>
    <w:rsid w:val="00AC5FE8"/>
    <w:rsid w:val="00AD3CF8"/>
    <w:rsid w:val="00AD3D77"/>
    <w:rsid w:val="00AD50B2"/>
    <w:rsid w:val="00AD545B"/>
    <w:rsid w:val="00AD73BF"/>
    <w:rsid w:val="00AE2924"/>
    <w:rsid w:val="00AE5F0D"/>
    <w:rsid w:val="00AF352C"/>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2A25"/>
    <w:rsid w:val="00BD629A"/>
    <w:rsid w:val="00BD7D98"/>
    <w:rsid w:val="00BE610A"/>
    <w:rsid w:val="00BF2BC3"/>
    <w:rsid w:val="00BF4F8F"/>
    <w:rsid w:val="00BF759C"/>
    <w:rsid w:val="00C045D5"/>
    <w:rsid w:val="00C165BB"/>
    <w:rsid w:val="00C27868"/>
    <w:rsid w:val="00C32CBB"/>
    <w:rsid w:val="00C42084"/>
    <w:rsid w:val="00C4661E"/>
    <w:rsid w:val="00C53426"/>
    <w:rsid w:val="00C562DB"/>
    <w:rsid w:val="00C70AE6"/>
    <w:rsid w:val="00C73589"/>
    <w:rsid w:val="00C76855"/>
    <w:rsid w:val="00C827E1"/>
    <w:rsid w:val="00C97610"/>
    <w:rsid w:val="00CB01AE"/>
    <w:rsid w:val="00CB7567"/>
    <w:rsid w:val="00CC0149"/>
    <w:rsid w:val="00CC07FF"/>
    <w:rsid w:val="00CC596F"/>
    <w:rsid w:val="00CE32E3"/>
    <w:rsid w:val="00CE4456"/>
    <w:rsid w:val="00CF0FB1"/>
    <w:rsid w:val="00CF7CE5"/>
    <w:rsid w:val="00D00265"/>
    <w:rsid w:val="00D00922"/>
    <w:rsid w:val="00D02A1F"/>
    <w:rsid w:val="00D05943"/>
    <w:rsid w:val="00D0666B"/>
    <w:rsid w:val="00D101A5"/>
    <w:rsid w:val="00D10E59"/>
    <w:rsid w:val="00D11827"/>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2B8C"/>
    <w:rsid w:val="00D83D4F"/>
    <w:rsid w:val="00D84CA9"/>
    <w:rsid w:val="00DA3031"/>
    <w:rsid w:val="00DB0FB9"/>
    <w:rsid w:val="00DB42E7"/>
    <w:rsid w:val="00DB6D6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11706"/>
    <w:rsid w:val="00E120A8"/>
    <w:rsid w:val="00E168E3"/>
    <w:rsid w:val="00E17E87"/>
    <w:rsid w:val="00E203C6"/>
    <w:rsid w:val="00E26F12"/>
    <w:rsid w:val="00E34932"/>
    <w:rsid w:val="00E379F4"/>
    <w:rsid w:val="00E42B05"/>
    <w:rsid w:val="00E46053"/>
    <w:rsid w:val="00E46CD3"/>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EE641D"/>
    <w:rsid w:val="00F002DB"/>
    <w:rsid w:val="00F053F9"/>
    <w:rsid w:val="00F118E0"/>
    <w:rsid w:val="00F14C0D"/>
    <w:rsid w:val="00F26599"/>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C18"/>
    <w:rsid w:val="00F96531"/>
    <w:rsid w:val="00FA0B87"/>
    <w:rsid w:val="00FA1866"/>
    <w:rsid w:val="00FA6885"/>
    <w:rsid w:val="00FB4023"/>
    <w:rsid w:val="00FB42DC"/>
    <w:rsid w:val="00FB4E7A"/>
    <w:rsid w:val="00FB4F99"/>
    <w:rsid w:val="00FB7F4B"/>
    <w:rsid w:val="00FC66FE"/>
    <w:rsid w:val="00FC6E6A"/>
    <w:rsid w:val="00FD23A3"/>
    <w:rsid w:val="00FD4D4A"/>
    <w:rsid w:val="00FD6005"/>
    <w:rsid w:val="00FD6531"/>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70AC1"/>
    <w:rsid w:val="000823A5"/>
    <w:rsid w:val="001070B2"/>
    <w:rsid w:val="0012637D"/>
    <w:rsid w:val="001304DC"/>
    <w:rsid w:val="00144C23"/>
    <w:rsid w:val="00171971"/>
    <w:rsid w:val="00174F5B"/>
    <w:rsid w:val="001A08B9"/>
    <w:rsid w:val="001B78F2"/>
    <w:rsid w:val="0020689D"/>
    <w:rsid w:val="002308A6"/>
    <w:rsid w:val="00243542"/>
    <w:rsid w:val="002B74BB"/>
    <w:rsid w:val="002F2671"/>
    <w:rsid w:val="00300E3D"/>
    <w:rsid w:val="00335DB6"/>
    <w:rsid w:val="00360418"/>
    <w:rsid w:val="00395FC1"/>
    <w:rsid w:val="003C07DD"/>
    <w:rsid w:val="003F13AB"/>
    <w:rsid w:val="003F2F9A"/>
    <w:rsid w:val="0040284C"/>
    <w:rsid w:val="0043671B"/>
    <w:rsid w:val="004505BF"/>
    <w:rsid w:val="004C6E0D"/>
    <w:rsid w:val="004F6F9C"/>
    <w:rsid w:val="005056C8"/>
    <w:rsid w:val="005F1868"/>
    <w:rsid w:val="0068388F"/>
    <w:rsid w:val="0068503E"/>
    <w:rsid w:val="00686DC6"/>
    <w:rsid w:val="00697A13"/>
    <w:rsid w:val="006A6B27"/>
    <w:rsid w:val="006F5FC3"/>
    <w:rsid w:val="007D5CCD"/>
    <w:rsid w:val="007D619C"/>
    <w:rsid w:val="0085683B"/>
    <w:rsid w:val="008638D8"/>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A2C61"/>
    <w:rsid w:val="00DB296C"/>
    <w:rsid w:val="00E72377"/>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248</TotalTime>
  <Pages>111</Pages>
  <Words>27529</Words>
  <Characters>156920</Characters>
  <Application>Microsoft Macintosh Word</Application>
  <DocSecurity>0</DocSecurity>
  <Lines>1307</Lines>
  <Paragraphs>313</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192708</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54</cp:revision>
  <dcterms:created xsi:type="dcterms:W3CDTF">2016-04-26T11:56:00Z</dcterms:created>
  <dcterms:modified xsi:type="dcterms:W3CDTF">2016-08-03T21:13:00Z</dcterms:modified>
  <cp:category/>
</cp:coreProperties>
</file>