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bookmarkStart w:id="0" w:name="_GoBack"/>
      <w:bookmarkEnd w:id="0"/>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6E43AA5A">
      <w:pPr>
        <w:spacing w:after="0" w:line="276" w:lineRule="auto"/>
        <w:ind w:left="907"/>
      </w:pPr>
      <w:r>
        <w:rPr>
          <w:rFonts w:ascii="宋体" w:hAnsi="宋体" w:eastAsia="宋体"/>
          <w:b w:val="0"/>
          <w:sz w:val="24"/>
        </w:rPr>
        <w:t>5.3.4 规则试运行与发布回滚实现</w:t>
      </w:r>
    </w:p>
    <w:p w14:paraId="63CFEB32">
      <w:pPr>
        <w:spacing w:after="0" w:line="276" w:lineRule="auto"/>
        <w:ind w:left="454"/>
      </w:pPr>
      <w:r>
        <w:rPr>
          <w:rFonts w:ascii="宋体" w:hAnsi="宋体" w:eastAsia="宋体"/>
          <w:b w:val="0"/>
          <w:sz w:val="24"/>
        </w:rPr>
        <w:t>5.4 系统测试与验收</w:t>
      </w:r>
    </w:p>
    <w:p w14:paraId="28DD857D">
      <w:pPr>
        <w:spacing w:after="0" w:line="276" w:lineRule="auto"/>
        <w:ind w:left="907"/>
      </w:pPr>
      <w:r>
        <w:rPr>
          <w:rFonts w:ascii="宋体" w:hAnsi="宋体" w:eastAsia="宋体"/>
          <w:b w:val="0"/>
          <w:sz w:val="24"/>
        </w:rPr>
        <w:t>5.4.1 功能测试</w:t>
      </w:r>
    </w:p>
    <w:p w14:paraId="7754E391">
      <w:pPr>
        <w:spacing w:after="0" w:line="276" w:lineRule="auto"/>
        <w:ind w:left="907"/>
      </w:pPr>
      <w:r>
        <w:rPr>
          <w:rFonts w:ascii="宋体" w:hAnsi="宋体" w:eastAsia="宋体"/>
          <w:b w:val="0"/>
          <w:sz w:val="24"/>
        </w:rPr>
        <w:t>5.4.2 验收结果分析</w:t>
      </w:r>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lineRule="exact" w:line="440"/>
        <w:ind w:firstLine="480"/>
        <w:jc w:val="both"/>
      </w:pPr>
      <w:r>
        <w:rPr>
          <w:rFonts w:ascii="Times New Roman" w:hAnsi="Times New Roman" w:eastAsia="SimSun"/>
          <w:b w:val="0"/>
          <w:sz w:val="24"/>
        </w:rPr>
        <w:t>近年来，直播电商、社交电商、跨境电商等新业态持续发展，中小电商企业的订单来源、履约链路和促销玩法愈发多样，订单管理已经从简单的“接单与发货”演变为包含审核、锁单、分仓、发货、异常处理、日志审计和活动联动的复合业务过程。与大型平台相比，中小电商企业普遍存在技术团队规模小、系统建设预算有限、业务变化频繁等特点，很多企业仍依赖 Excel、通用 ERP 或多个孤立后台协同处理订单，容易出现流程割裂、状态不透明、数据口径不一致以及系统改造周期长等问题。基于此，研究一套面向中小电商场景、兼顾快速开发与灵活配置的低代码订单管理系统，既具有明显的现实需求，也具有较强的工程研究意义。其一，从实践层面看，该系统有助于提高订单流转效率、降低人工判断成本、增强关键操作的可追踪性；其二，从方法层面看，将元数据配置、动态渲染与可视化规则编排结合到具体订单业务中，有助于验证低代码技术在垂直业务场景中的可落地性，为后续系统平台化扩展提供参考。</w:t>
      </w:r>
    </w:p>
    <w:p w14:paraId="3FF88CC9">
      <w:pPr>
        <w:pStyle w:val="4"/>
      </w:pPr>
      <w:r>
        <w:rPr>
          <w:rFonts w:ascii="宋体" w:hAnsi="宋体" w:eastAsia="宋体"/>
          <w:b/>
          <w:color w:val="000000"/>
          <w:sz w:val="28"/>
        </w:rPr>
        <w:t>1.2 国内外研究现状</w:t>
      </w:r>
    </w:p>
    <w:p w14:paraId="2CECD7B1">
      <w:pPr>
        <w:spacing w:before="0" w:after="0" w:lineRule="exact" w:line="440"/>
        <w:ind w:firstLine="480"/>
        <w:jc w:val="both"/>
      </w:pPr>
      <w:r>
        <w:rPr>
          <w:rFonts w:ascii="Times New Roman" w:hAnsi="Times New Roman" w:eastAsia="SimSun"/>
          <w:b w:val="0"/>
          <w:sz w:val="24"/>
        </w:rPr>
        <w:t>从国内建设现状看，很多中小电商订单系统仍以传统 ERP、OMS 或定制化后台为基础，研究与实践重点多集中在订单状态流转、仓配协同、权限控制和数据统计等功能完善上，能够满足基础履约管理需求，但在字段扩展、页面调整和规则变更方面往往依赖开发人员改代码，系统响应业务变化的速度较慢。随着低代码平台的兴起，国内越来越多系统开始关注表单配置、流程配置和页面生成等能力，但大多仍偏向通用办公流程或轻量审批场景，对订单审核、自动分仓、异常标记、操作审计等电商履约细节支持不足。国外相关研究与产品实践则更强调 low-code platform、metadata-driven 建模和 business rule engine 的结合，重视业务人员参与配置、规则版本治理、配置发布与回滚以及平台可扩展性建设，在配置化开发和系统治理方面相对成熟。然而，国外通用低代码平台往往面向广义企业应用，其业务模型与国内中小电商订单履约场景并不完全一致。综合来看，当前仍缺少一类既围绕订单业务闭环、又能够把低代码配置和可视化规则编排深度整合到同一系统中的轻量化方案，这正是本课题拟重点解决的问题。</w:t>
      </w:r>
    </w:p>
    <w:p w14:paraId="30448E84">
      <w:pPr>
        <w:pStyle w:val="4"/>
      </w:pPr>
      <w:r>
        <w:rPr>
          <w:rFonts w:ascii="宋体" w:hAnsi="宋体" w:eastAsia="宋体"/>
          <w:b/>
          <w:color w:val="000000"/>
          <w:sz w:val="28"/>
        </w:rPr>
        <w:t>1.3 研究方法与内容</w:t>
      </w:r>
    </w:p>
    <w:p w14:paraId="5143344D">
      <w:pPr>
        <w:spacing w:before="0" w:after="0" w:lineRule="exact" w:line="440"/>
        <w:ind w:firstLine="480"/>
        <w:jc w:val="both"/>
      </w:pPr>
      <w:r>
        <w:rPr>
          <w:rFonts w:ascii="Times New Roman" w:hAnsi="Times New Roman" w:eastAsia="SimSun"/>
          <w:b w:val="0"/>
          <w:sz w:val="24"/>
        </w:rPr>
        <w:t>围绕上述问题，本课题遵循“需求分析 - 架构设计 - 原型实现 - 测试验证”的研究路径展开。在研究过程中，一方面结合项目现有需求文档、技术路线文档和开发进度文档，对系统范围、模块边界、关键流程与技术选型进行收敛；另一方面通过原型实现验证低代码配置、动态渲染和规则编排在订单管理场景中的可行性，最终形成兼具研究性与实现性的毕业设计成果。</w:t>
      </w:r>
    </w:p>
    <w:p w14:paraId="12F9E372">
      <w:pPr>
        <w:pStyle w:val="5"/>
      </w:pPr>
      <w:r>
        <w:rPr>
          <w:rFonts w:ascii="宋体" w:hAnsi="宋体" w:eastAsia="宋体"/>
          <w:b/>
          <w:color w:val="000000"/>
          <w:sz w:val="24"/>
        </w:rPr>
        <w:t>1.3.1 研究方法</w:t>
      </w:r>
    </w:p>
    <w:p w14:paraId="705304E9">
      <w:pPr>
        <w:spacing w:before="0" w:after="0" w:lineRule="exact" w:line="440"/>
        <w:ind w:firstLine="480"/>
        <w:jc w:val="both"/>
      </w:pPr>
      <w:r>
        <w:rPr>
          <w:rFonts w:ascii="Times New Roman" w:hAnsi="Times New Roman" w:eastAsia="SimSun"/>
          <w:b w:val="0"/>
          <w:sz w:val="24"/>
        </w:rPr>
        <w:t>本课题主要采用以下几种研究方法：第一，文献与资料分析法，结合低代码、元数据驱动、规则引擎和订单管理等相关资料，梳理系统建设的理论基础与技术路线；第二，系统分析法，从中小电商订单履约业务出发，对角色、流程、状态、规则触发点和数据对象进行拆解，明确系统的输入、处理与输出关系；第三，原型迭代法，以最小可行产品为目标，按照“先跑通订单闭环，再抽象平台能力”的原则逐步实现登录鉴权、订单管理、低代码配置和规则编排模块；第四，测试与验证法，通过功能检查、流程演练和命令验证等方式评估系统的正确性、可用性与扩展潜力。</w:t>
      </w:r>
    </w:p>
    <w:p w14:paraId="2A3C4FBD">
      <w:pPr>
        <w:pStyle w:val="5"/>
      </w:pPr>
      <w:r>
        <w:rPr>
          <w:rFonts w:ascii="宋体" w:hAnsi="宋体" w:eastAsia="宋体"/>
          <w:b/>
          <w:color w:val="000000"/>
          <w:sz w:val="24"/>
        </w:rPr>
        <w:t>1.3.2 研究内容</w:t>
      </w:r>
    </w:p>
    <w:p w14:paraId="109973B6">
      <w:pPr>
        <w:spacing w:before="0" w:after="0" w:lineRule="exact" w:line="440"/>
        <w:ind w:firstLine="480"/>
        <w:jc w:val="both"/>
      </w:pPr>
      <w:r>
        <w:rPr>
          <w:rFonts w:ascii="Times New Roman" w:hAnsi="Times New Roman" w:eastAsia="SimSun"/>
          <w:b w:val="0"/>
          <w:sz w:val="24"/>
        </w:rPr>
        <w:t>本课题的研究内容主要包括四个方面：一是围绕中小电商订单履约场景，分析订单导入、审核、分仓、发货、取消、完成及异常处理等核心业务需求，明确系统建设目标与边界；二是设计系统总体架构与数据模型，确定采用 TypeScript 全栈单仓模式，并围绕订单、用户权限、元数据配置、规则定义与执行日志建立统一的数据组织方式；三是实现订单管理后台、低代码配置平台和可视化规则编排引擎等关键模块，使字段、页面和业务规则能够通过配置方式驱动系统运行；四是对系统进行测试与结果分析，验证所提方案在业务闭环、配置灵活性和工程可实施性方面的有效性，为后续扩展为更完整的订单运营平台提供基础。</w:t>
      </w: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lineRule="exact" w:line="440"/>
        <w:ind w:firstLine="480"/>
        <w:jc w:val="both"/>
      </w:pPr>
      <w:r>
        <w:rPr>
          <w:rFonts w:ascii="Times New Roman" w:hAnsi="Times New Roman" w:eastAsia="SimSun"/>
          <w:b w:val="0"/>
          <w:sz w:val="24"/>
        </w:rPr>
        <w:t>本系统面向的核心场景是中小电商企业的订单履约管理。与大型平台相比，中小电商企业通常同时面对订单来源分散、促销活动频繁、SKU 变化快、仓配资源有限以及运营人员较少等现实约束，订单处理不仅需要完成基础的创建、审核、分仓、发货和取消，还需要兼顾异常识别、人工复核、日志追踪与后续规则优化。若继续依赖 Excel、通用 ERP 或多个孤立后台协同处理订单，容易出现订单状态更新不及时、规则执行依赖人工经验、页面字段调整成本高以及关键操作缺乏审计依据等问题。因此，系统首先需要提供一个围绕订单全生命周期运转的统一后台，将订单导入或创建、审核判断、仓库匹配、履约处理和日志留痕整合到同一业务链路中。</w:t>
        <w:br/>
        <w:t>同时，项目并不追求在第一阶段建设一个覆盖财务、供应链、BI 和复杂审批流的全功能 ERP，而是坚持“先完成订单场景闭环，再抽象平台能力”的建设原则。也就是说，系统既要满足订单履约业务对效率、准确性和可追踪性的要求，又要具备对业务变化快速响应的能力。为此，业务需求被进一步收敛为三个方面：一是提供稳定可用的订单管理后台，支持运营、审核和仓配人员完成日常业务处理；二是提供低代码配置能力，使字段、页面和动作能够在不改代码的前提下调整；三是提供可视化规则编排能力，把审核、分仓、标签和备注等易变业务逻辑从固定代码中抽离出来，以提升系统的灵活性和后续治理能力。</w:t>
      </w:r>
    </w:p>
    <w:p w14:paraId="741F977D">
      <w:pPr>
        <w:pStyle w:val="4"/>
      </w:pPr>
      <w:r>
        <w:rPr>
          <w:rFonts w:ascii="宋体" w:hAnsi="宋体" w:eastAsia="宋体"/>
          <w:b/>
          <w:color w:val="000000"/>
          <w:sz w:val="28"/>
        </w:rPr>
        <w:t>3.2 用户角色分析</w:t>
      </w:r>
    </w:p>
    <w:p w14:paraId="0B0FEEAF">
      <w:pPr>
        <w:spacing w:before="0" w:after="0" w:lineRule="exact" w:line="440"/>
        <w:ind w:firstLine="480"/>
        <w:jc w:val="both"/>
      </w:pPr>
      <w:r>
        <w:rPr>
          <w:rFonts w:ascii="Times New Roman" w:hAnsi="Times New Roman" w:eastAsia="SimSun"/>
          <w:b w:val="0"/>
          <w:sz w:val="24"/>
        </w:rPr>
        <w:t>结合项目需求文档与实际业务场景，本系统涉及的用户角色主要包括系统管理员、订单运营人员、客服或审核人员、规则配置人员、实施或开发人员以及仓配人员。系统管理员负责账号、角色、权限、字典、配置发布和审计查看，是系统治理与安全控制的核心角色；订单运营人员主要关注订单查询、状态处理、备注维护、改仓、发货和批量操作，是系统最频繁的使用者；客服或审核人员重点处理异常订单、风险标签、人工复核、锁单与驳回等任务，其工作直接影响订单是否进入后续履约流程。</w:t>
        <w:br/>
        <w:t>除日常业务角色外，规则配置人员和实施或开发人员承担平台化能力建设任务。前者负责把人工判断沉淀为可重复执行的审核规则、分仓规则及标签规则，后者负责通过元数据配置扩展字段、调整页面、配置导入模板并维护系统适配能力。仓配人员则主要聚焦待发货订单处理、物流单号录入和批量发货。不同角色在菜单权限、页面按钮权限、接口权限和配置发布权限上存在明显差异，因此系统必须基于角色进行细粒度授权，既保证高频业务操作足够高效，也防止配置误改和越权操作对线上订单造成影响。</w:t>
      </w:r>
    </w:p>
    <w:p w14:paraId="697ECA56">
      <w:pPr>
        <w:pStyle w:val="4"/>
      </w:pPr>
      <w:r>
        <w:rPr>
          <w:rFonts w:ascii="宋体" w:hAnsi="宋体" w:eastAsia="宋体"/>
          <w:b/>
          <w:color w:val="000000"/>
          <w:sz w:val="28"/>
        </w:rPr>
        <w:t>3.3 功能性需求分析</w:t>
      </w:r>
    </w:p>
    <w:p w14:paraId="1AAE1D9C">
      <w:pPr>
        <w:spacing w:before="0" w:after="0" w:lineRule="exact" w:line="440"/>
        <w:ind w:firstLine="480"/>
        <w:jc w:val="both"/>
      </w:pPr>
      <w:r>
        <w:rPr>
          <w:rFonts w:ascii="Times New Roman" w:hAnsi="Times New Roman" w:eastAsia="SimSun"/>
          <w:b w:val="0"/>
          <w:sz w:val="24"/>
        </w:rPr>
        <w:t>围绕订单履约闭环与平台化扩展目标，系统功能需求可分为订单管理后台、低代码配置平台和可视化规则编排引擎三大部分。其中，订单管理后台承担订单处理主链路，是系统可用性的基础；低代码配置平台负责把字段、页面和动作从硬编码中抽离出来，是系统适应不同商家差异化需求的关键；规则编排引擎则面向审核、分仓、标签和备注等决策逻辑，实现业务判断的可视化配置与重复执行。三类功能相互依赖，共同构成系统的核心价值。</w:t>
        <w:br/>
        <w:t>在功能设计上，本系统强调“业务闭环可运行、配置能力可验证、规则结果可追踪”。因此，功能性需求不仅关注页面是否存在、操作是否可点击，更关注订单状态是否能完整流转、配置发布后页面是否能自动生效、规则执行结果是否能回写订单并在日志中解释。基于这一原则，对各模块需求进一步细化如下。</w:t>
      </w:r>
    </w:p>
    <w:p w14:paraId="5BE81ABB">
      <w:pPr>
        <w:pStyle w:val="5"/>
      </w:pPr>
      <w:r>
        <w:rPr>
          <w:rFonts w:ascii="宋体" w:hAnsi="宋体" w:eastAsia="宋体"/>
          <w:b/>
          <w:color w:val="000000"/>
          <w:sz w:val="24"/>
        </w:rPr>
        <w:t>3.3.1 订单管理后台需求</w:t>
      </w:r>
    </w:p>
    <w:p w14:paraId="6CA365A2">
      <w:pPr>
        <w:spacing w:before="0" w:after="0" w:lineRule="exact" w:line="440"/>
        <w:ind w:firstLine="480"/>
        <w:jc w:val="both"/>
      </w:pPr>
      <w:r>
        <w:rPr>
          <w:rFonts w:ascii="Times New Roman" w:hAnsi="Times New Roman" w:eastAsia="SimSun"/>
          <w:b w:val="0"/>
          <w:sz w:val="24"/>
        </w:rPr>
        <w:t>订单管理后台是本系统最核心的业务模块，需要支撑从订单进入系统到完成履约的完整流程。首先，在订单列表层面，系统应支持按订单号、来源、客户、地区、状态、仓库、标签、时间范围等条件进行组合筛选，并支持按 SKU、商品名称、留言和备注进行模糊查询，以满足运营人员高频检索和批量处理需求。列表页还应具备列显隐、状态色标、批量审核、批量锁单、批量发货和导出等能力，使其成为统一的订单处理工作台。其次，在订单详情层面，系统应集中展示订单概览、收货与客户信息、商品明细、金额信息、履约信息、规则命中记录以及处理日志，使操作者能够快速理解订单上下文，并基于完整信息执行审核、驳回、分仓、发货、取消和异常处理等操作。</w:t>
        <w:br/>
        <w:t>除了基础查询与展示功能，订单管理后台还必须具备严格的业务约束。订单状态不能简单依赖单一字段表达，而应结合主状态、控制标记和业务子状态共同描述订单所处阶段；高风险动作如审核驳回、锁单、解锁、改仓、发货和取消必须进行参数校验、权限校验和审计留痕；规则命中结果可以驱动订单自动进入“待分仓”或“人工审核”，但人工操作必须能够覆盖规则结果并保留覆盖记录。换言之，订单管理后台不仅是数据展示界面，更是承载业务规则、权限约束和日志追踪的履约操作中台。</w:t>
      </w:r>
    </w:p>
    <w:p w14:paraId="55739D1A">
      <w:pPr>
        <w:pStyle w:val="5"/>
      </w:pPr>
      <w:r>
        <w:rPr>
          <w:rFonts w:ascii="宋体" w:hAnsi="宋体" w:eastAsia="宋体"/>
          <w:b/>
          <w:color w:val="000000"/>
          <w:sz w:val="24"/>
        </w:rPr>
        <w:t>3.3.2 低代码配置平台需求</w:t>
      </w:r>
    </w:p>
    <w:p w14:paraId="0D74CB98">
      <w:pPr>
        <w:spacing w:before="0" w:after="0" w:lineRule="exact" w:line="440"/>
        <w:ind w:firstLine="480"/>
        <w:jc w:val="both"/>
      </w:pPr>
      <w:r>
        <w:rPr>
          <w:rFonts w:ascii="Times New Roman" w:hAnsi="Times New Roman" w:eastAsia="SimSun"/>
          <w:b w:val="0"/>
          <w:sz w:val="24"/>
        </w:rPr>
        <w:t>低代码配置平台的目标不是让用户无限制地“搭系统”，而是在订单管理场景下，允许实施人员和配置人员通过结构化元数据完成字段扩展、页面调整和动作配置。具体而言，系统需要支持对实体、字段、字典、页面 Schema 以及页面动作进行配置管理。实体层面要能够定义订单、客户、仓库等内置对象及扩展业务实体；字段层面要支持名称、编码、类型、必填、默认值、展示属性、搜索属性和校验规则等定义；页面层面要支持列表页、详情页和编辑页三类视图的 Schema 配置；动作层面则要支持按钮显示条件、权限码和操作确认策略。通过这些能力，系统能够在不改动核心代码的情况下调整业务字段和页面形态，从而提高对不同商家需求的适配效率。</w:t>
        <w:br/>
        <w:t>为了保证低代码能力可控可用，配置平台还必须具备运行机制和治理机制。运行时渲染引擎应根据字段配置、页面配置、权限配置和订单状态共同决定最终页面展示结果，并使新增字段在发布后自动进入搜索、详情、导入导出和规则输入上下文。治理层面则要支持草稿、已发布、已停用等状态，提供预览、版本记录、发布备注和回滚能力，并在字段或页面被规则、模板等对象依赖时给出依赖分析提示，防止配置失控或发布错误直接破坏线上页面。因此，低代码配置平台本质上是系统的平台化中枢，其重点不在“可配多少”，而在“配置是否统一、发布是否安全、变更是否可追溯”。</w:t>
      </w:r>
    </w:p>
    <w:p w14:paraId="068EF801">
      <w:pPr>
        <w:pStyle w:val="5"/>
      </w:pPr>
      <w:r>
        <w:rPr>
          <w:rFonts w:ascii="宋体" w:hAnsi="宋体" w:eastAsia="宋体"/>
          <w:b/>
          <w:color w:val="000000"/>
          <w:sz w:val="24"/>
        </w:rPr>
        <w:t>3.3.3 可视化规则编排引擎需求</w:t>
      </w:r>
    </w:p>
    <w:p w14:paraId="3534EF8A">
      <w:pPr>
        <w:spacing w:before="0" w:after="0" w:lineRule="exact" w:line="440"/>
        <w:ind w:firstLine="480"/>
        <w:jc w:val="both"/>
      </w:pPr>
      <w:r>
        <w:rPr>
          <w:rFonts w:ascii="Times New Roman" w:hAnsi="Times New Roman" w:eastAsia="SimSun"/>
          <w:b w:val="0"/>
          <w:sz w:val="24"/>
        </w:rPr>
        <w:t>规则编排引擎用于把订单处理过程中重复出现的人工判断逻辑转化为可视化、可复用、可追踪的业务决策流。根据需求收敛结果，本期规则能力主要聚焦三类场景：订单创建或导入后触发的审核规则、审核通过后触发的分仓规则，以及围绕标签、备注和优先级写入的辅助规则。系统需要支持多条规则按场景和优先级执行，并支持“命中即停止”与“命中后继续”两类策略，以适配不同业务复杂度。就节点模型而言，规则画布至少应包含开始节点、条件节点、分支节点、动作节点和结果节点，条件节点支持常见比较运算与 AND/OR 组合，动作节点支持修改状态、写入标签、写入备注、锁单、指定仓库和输出人工处理结果等操作。</w:t>
        <w:br/>
        <w:t>仅有画布能力并不足以支撑真实业务，规则引擎还必须具备执行、调试和治理能力。每次规则执行都应形成输入快照、命中路径、输出结果和执行耗时，并能够与订单建立关联关系，以便在订单详情中解释“为什么被锁单”“为什么分到了这个仓”。此外，规则需要支持草稿、已发布、已停用三种状态，支持试运行、版本保存、版本比对和历史回滚，防止配置人员直接覆盖线上逻辑导致结果不可解释。由于本期系统定位为业务决策流而非通用脚本引擎，规则编排必须明确边界，不支持执行任意脚本或任意 SQL，只允许在白名单节点和受控上下文中运行，从而保证系统安全性与可维护性。</w:t>
      </w:r>
    </w:p>
    <w:p w14:paraId="7F335A7F">
      <w:pPr>
        <w:pStyle w:val="4"/>
      </w:pPr>
      <w:r>
        <w:rPr>
          <w:rFonts w:ascii="宋体" w:hAnsi="宋体" w:eastAsia="宋体"/>
          <w:b/>
          <w:color w:val="000000"/>
          <w:sz w:val="28"/>
        </w:rPr>
        <w:t>3.4 数据需求分析</w:t>
      </w:r>
    </w:p>
    <w:p w14:paraId="22192DC4">
      <w:pPr>
        <w:spacing w:before="0" w:after="0" w:lineRule="exact" w:line="440"/>
        <w:ind w:firstLine="480"/>
        <w:jc w:val="both"/>
      </w:pPr>
      <w:r>
        <w:rPr>
          <w:rFonts w:ascii="Times New Roman" w:hAnsi="Times New Roman" w:eastAsia="SimSun"/>
          <w:b w:val="0"/>
          <w:sz w:val="24"/>
        </w:rPr>
        <w:t>本系统的数据需求可分为业务数据、配置数据和日志数据三类。业务数据用于支撑订单履约主流程，核心对象包括用户、角色、权限、订单主表、订单明细、客户、仓库、物流信息及订单标签等；这些数据以结构化关系模型为主，用于保证状态流转、关联查询和事务一致性。配置数据用于支撑低代码和规则能力，主要包括实体元数据、字段元数据、字典定义、页面元数据、页面动作元数据、规则定义、规则版本以及导入模板等；这些数据既包含强结构字段，也包含 Schema 或图结构 JSON，用于在运行时驱动页面渲染和规则执行。日志数据用于记录过程留痕，主要包括订单操作日志、规则执行日志、审计日志和系统日志，是系统可追踪、可解释和可运维的基础。</w:t>
        <w:br/>
        <w:t>从数据组织要求看，系统需要保证三类数据之间具有关联关系和一致的治理规则。业务主表与配置表应包含创建时间、更新时间、创建人和更新人等基础字段；配置类表必须具备版本字段和状态字段，用于支持发布与回滚；订单扩展字段虽然可以通过 JSON 或扩展表承载，但其定义必须统一受 `field_meta` 之类的元数据模型管理；规则执行日志必须保存输入快照和版本信息，避免规则变化后无法解释历史订单结果；所有配置删除操作都应进行依赖分析，防止出现悬空引用。可以说，数据需求分析不仅关注“存什么”，更关注“如何支撑业务流转、配置驱动和全过程审计”。</w:t>
      </w:r>
    </w:p>
    <w:p w14:paraId="6C97F4EB">
      <w:pPr>
        <w:pStyle w:val="4"/>
      </w:pPr>
      <w:r>
        <w:rPr>
          <w:rFonts w:ascii="宋体" w:hAnsi="宋体" w:eastAsia="宋体"/>
          <w:b/>
          <w:color w:val="000000"/>
          <w:sz w:val="28"/>
        </w:rPr>
        <w:t>3.5 非功能性需求分析</w:t>
      </w:r>
    </w:p>
    <w:p w14:paraId="7C2FCCF5">
      <w:pPr>
        <w:spacing w:before="0" w:after="0" w:lineRule="exact" w:line="440"/>
        <w:ind w:firstLine="480"/>
        <w:jc w:val="both"/>
      </w:pPr>
      <w:r>
        <w:rPr>
          <w:rFonts w:ascii="Times New Roman" w:hAnsi="Times New Roman" w:eastAsia="SimSun"/>
          <w:b w:val="0"/>
          <w:sz w:val="24"/>
        </w:rPr>
        <w:t>作为面向中小电商运营场景的后台系统，本项目在非功能层面首先强调易用性和性能。易用性方面，运营人员、审核人员和配置人员应能够在较短培训后完成日常使用，因此页面布局、表格筛选、状态展示和批量操作应符合主流中后台交互习惯；性能方面，在万级订单规模下，常用列表查询目标控制在 3 秒以内，单次同步规则执行目标控制在 1 秒左右，保证系统在日常运营场景中不会因等待过长影响处理效率。</w:t>
        <w:br/>
        <w:t>其次，系统必须满足稳定性、安全性、可扩展性、可维护性和可部署性要求。稳定性要求关键接口具备参数校验、异常处理与错误留痕能力，批量任务不能静默失败；安全性要求完成登录鉴权、接口鉴权、配置发布权限控制和高风险动作审计；可扩展性要求字段模型、页面模型和规则模型能够继续承载更多业务对象和节点类型；可维护性要求配置项、规则项和日志项来源清晰，避免平台演化为“可配置但不可解释”的黑盒系统；可部署性要求系统能够部署到统一测试环境，用于验收、演示和后续联调。只有在这些非功能需求得到保证的前提下，系统的低代码能力和规则能力才具备实际应用价值。</w:t>
      </w:r>
    </w:p>
    <w:p w14:paraId="16DAEACF">
      <w:pPr>
        <w:pStyle w:val="4"/>
      </w:pPr>
      <w:r>
        <w:rPr>
          <w:rFonts w:ascii="宋体" w:hAnsi="宋体" w:eastAsia="宋体"/>
          <w:b/>
          <w:color w:val="000000"/>
          <w:sz w:val="28"/>
        </w:rPr>
        <w:t>3.6 可行性分析</w:t>
      </w:r>
    </w:p>
    <w:p w14:paraId="7F3377D0">
      <w:pPr>
        <w:spacing w:before="0" w:after="0" w:lineRule="exact" w:line="440"/>
        <w:ind w:firstLine="480"/>
        <w:jc w:val="both"/>
      </w:pPr>
      <w:r>
        <w:rPr>
          <w:rFonts w:ascii="Times New Roman" w:hAnsi="Times New Roman" w:eastAsia="SimSun"/>
          <w:b w:val="0"/>
          <w:sz w:val="24"/>
        </w:rPr>
        <w:t>从技术可行性看，本项目采用的 Next.js、TypeScript、PostgreSQL、Prisma、Ant Design、React Flow 和 Zod 等技术栈均较为成熟，社区资料丰富，且项目仓库已经完成工程初始化、页面入口、数据库模型、登录鉴权、订单状态流转和构建验证等工作，说明系统关键技术路线已经具备落地基础。尤其是单仓全栈模式、元数据驱动页面和节点式规则画布之间具备较好的协同关系，能够在不引入重型微服务架构的前提下支撑毕业设计阶段的原型验证目标。</w:t>
        <w:br/>
        <w:t>从经济与实施可行性看，本项目主要依赖开源框架与现有开发环境，研发成本主要是时间成本而非高额软件采购成本；系统范围也被严格收敛为订单闭环、低代码配置和规则编排三个核心能力，避免了过度追求大而全带来的资源浪费。从操作可行性看，系统目标用户均属于企业后台使用人员，具有一定信息系统操作基础，若页面遵循中后台常见交互模式，则其学习成本相对可控。综合技术、经济与操作三个方面分析，本课题具备较强的实施可行性，其主要挑战不在于技术是否可用，而在于需求边界控制、配置治理和规则能力落地深度的平衡。</w:t>
      </w: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pPr>
    </w:p>
    <w:p w14:paraId="742B3B16">
      <w:pPr>
        <w:pStyle w:val="4"/>
      </w:pPr>
      <w:r>
        <w:rPr>
          <w:rFonts w:ascii="宋体" w:hAnsi="宋体" w:eastAsia="宋体"/>
          <w:b/>
          <w:color w:val="000000"/>
          <w:sz w:val="28"/>
        </w:rPr>
        <w:t>4.2 系统架构设计</w:t>
      </w:r>
    </w:p>
    <w:p w14:paraId="769F2FE4">
      <w:pPr>
        <w:spacing w:before="0" w:after="0"/>
      </w:pPr>
    </w:p>
    <w:p w14:paraId="7749D4DB">
      <w:pPr>
        <w:pStyle w:val="5"/>
      </w:pPr>
      <w:r>
        <w:rPr>
          <w:rFonts w:ascii="宋体" w:hAnsi="宋体" w:eastAsia="宋体"/>
          <w:b/>
          <w:color w:val="000000"/>
          <w:sz w:val="24"/>
        </w:rPr>
        <w:t>4.2.1 技术架构设计</w:t>
      </w:r>
    </w:p>
    <w:p w14:paraId="113B5D7C">
      <w:pPr>
        <w:spacing w:before="0" w:after="0"/>
      </w:pPr>
    </w:p>
    <w:p w14:paraId="672931F5">
      <w:pPr>
        <w:pStyle w:val="5"/>
      </w:pPr>
      <w:r>
        <w:rPr>
          <w:rFonts w:ascii="宋体" w:hAnsi="宋体" w:eastAsia="宋体"/>
          <w:b/>
          <w:color w:val="000000"/>
          <w:sz w:val="24"/>
        </w:rPr>
        <w:t>4.2.2 分层架构设计</w:t>
      </w:r>
    </w:p>
    <w:p w14:paraId="00A73784">
      <w:pPr>
        <w:spacing w:before="0" w:after="0"/>
      </w:pPr>
    </w:p>
    <w:p w14:paraId="1972CB29">
      <w:pPr>
        <w:pStyle w:val="5"/>
      </w:pPr>
      <w:r>
        <w:rPr>
          <w:rFonts w:ascii="宋体" w:hAnsi="宋体" w:eastAsia="宋体"/>
          <w:b/>
          <w:color w:val="000000"/>
          <w:sz w:val="24"/>
        </w:rPr>
        <w:t>4.2.3 功能架构设计</w:t>
      </w:r>
    </w:p>
    <w:p w14:paraId="1DD4E6C3">
      <w:pPr>
        <w:spacing w:before="0" w:after="0"/>
      </w:pPr>
    </w:p>
    <w:p w14:paraId="7322AFCD">
      <w:pPr>
        <w:pStyle w:val="4"/>
      </w:pPr>
      <w:r>
        <w:rPr>
          <w:rFonts w:ascii="宋体" w:hAnsi="宋体" w:eastAsia="宋体"/>
          <w:b/>
          <w:color w:val="000000"/>
          <w:sz w:val="28"/>
        </w:rPr>
        <w:t>4.3 系统功能模块设计</w:t>
      </w:r>
    </w:p>
    <w:p w14:paraId="0BC117FD">
      <w:pPr>
        <w:spacing w:before="0" w:after="0"/>
      </w:pPr>
    </w:p>
    <w:p w14:paraId="3FC6A053">
      <w:pPr>
        <w:pStyle w:val="5"/>
      </w:pPr>
      <w:r>
        <w:rPr>
          <w:rFonts w:ascii="宋体" w:hAnsi="宋体" w:eastAsia="宋体"/>
          <w:b/>
          <w:color w:val="000000"/>
          <w:sz w:val="24"/>
        </w:rPr>
        <w:t>4.3.1 用户与权限模块设计</w:t>
      </w:r>
    </w:p>
    <w:p w14:paraId="51FCD346">
      <w:pPr>
        <w:spacing w:before="0" w:after="0"/>
      </w:pPr>
    </w:p>
    <w:p w14:paraId="091B5384">
      <w:pPr>
        <w:pStyle w:val="5"/>
      </w:pPr>
      <w:r>
        <w:rPr>
          <w:rFonts w:ascii="宋体" w:hAnsi="宋体" w:eastAsia="宋体"/>
          <w:b/>
          <w:color w:val="000000"/>
          <w:sz w:val="24"/>
        </w:rPr>
        <w:t>4.3.2 订单管理模块设计</w:t>
      </w:r>
    </w:p>
    <w:p w14:paraId="04410739">
      <w:pPr>
        <w:spacing w:before="0" w:after="0"/>
      </w:pPr>
    </w:p>
    <w:p w14:paraId="4C0DD025">
      <w:pPr>
        <w:pStyle w:val="5"/>
      </w:pPr>
      <w:r>
        <w:rPr>
          <w:rFonts w:ascii="宋体" w:hAnsi="宋体" w:eastAsia="宋体"/>
          <w:b/>
          <w:color w:val="000000"/>
          <w:sz w:val="24"/>
        </w:rPr>
        <w:t>4.3.3 低代码配置模块设计</w:t>
      </w:r>
    </w:p>
    <w:p w14:paraId="37A9083E">
      <w:pPr>
        <w:spacing w:before="0" w:after="0"/>
      </w:pPr>
    </w:p>
    <w:p w14:paraId="51524BD2">
      <w:pPr>
        <w:pStyle w:val="5"/>
      </w:pPr>
      <w:r>
        <w:rPr>
          <w:rFonts w:ascii="宋体" w:hAnsi="宋体" w:eastAsia="宋体"/>
          <w:b/>
          <w:color w:val="000000"/>
          <w:sz w:val="24"/>
        </w:rPr>
        <w:t>4.3.4 规则编排模块设计</w:t>
      </w:r>
    </w:p>
    <w:p w14:paraId="022A6FF5">
      <w:pPr>
        <w:spacing w:before="0" w:after="0"/>
      </w:pPr>
    </w:p>
    <w:p w14:paraId="10E4A4DA">
      <w:pPr>
        <w:pStyle w:val="5"/>
      </w:pPr>
      <w:r>
        <w:rPr>
          <w:rFonts w:ascii="宋体" w:hAnsi="宋体" w:eastAsia="宋体"/>
          <w:b/>
          <w:color w:val="000000"/>
          <w:sz w:val="24"/>
        </w:rPr>
        <w:t>4.3.5 日志与审计模块设计</w:t>
      </w:r>
    </w:p>
    <w:p w14:paraId="6FFC0C25">
      <w:pPr>
        <w:spacing w:before="0" w:after="0"/>
      </w:pPr>
    </w:p>
    <w:p w14:paraId="31BBB5F4">
      <w:pPr>
        <w:pStyle w:val="4"/>
      </w:pPr>
      <w:r>
        <w:rPr>
          <w:rFonts w:ascii="宋体" w:hAnsi="宋体" w:eastAsia="宋体"/>
          <w:b/>
          <w:color w:val="000000"/>
          <w:sz w:val="28"/>
        </w:rPr>
        <w:t>4.4 数据库设计</w:t>
      </w:r>
    </w:p>
    <w:p w14:paraId="0CDC06B2">
      <w:pPr>
        <w:spacing w:before="0" w:after="0"/>
      </w:pPr>
    </w:p>
    <w:p w14:paraId="67DC9F12">
      <w:pPr>
        <w:pStyle w:val="5"/>
      </w:pPr>
      <w:r>
        <w:rPr>
          <w:rFonts w:ascii="宋体" w:hAnsi="宋体" w:eastAsia="宋体"/>
          <w:b/>
          <w:color w:val="000000"/>
          <w:sz w:val="24"/>
        </w:rPr>
        <w:t>4.4.1 概念结构设计</w:t>
      </w:r>
    </w:p>
    <w:p w14:paraId="163D7158">
      <w:pPr>
        <w:spacing w:before="0" w:after="0"/>
      </w:pPr>
    </w:p>
    <w:p w14:paraId="724096E7">
      <w:pPr>
        <w:pStyle w:val="5"/>
      </w:pPr>
      <w:r>
        <w:rPr>
          <w:rFonts w:ascii="宋体" w:hAnsi="宋体" w:eastAsia="宋体"/>
          <w:b/>
          <w:color w:val="000000"/>
          <w:sz w:val="24"/>
        </w:rPr>
        <w:t>4.4.2 主要数据表设计</w:t>
      </w:r>
    </w:p>
    <w:p w14:paraId="6D911E32">
      <w:pPr>
        <w:spacing w:before="0" w:after="0"/>
      </w:pPr>
    </w:p>
    <w:p w14:paraId="100E9263">
      <w:pPr>
        <w:pStyle w:val="4"/>
      </w:pPr>
      <w:r>
        <w:rPr>
          <w:rFonts w:ascii="宋体" w:hAnsi="宋体" w:eastAsia="宋体"/>
          <w:b/>
          <w:color w:val="000000"/>
          <w:sz w:val="28"/>
        </w:rPr>
        <w:t>4.5 接口与部署设计</w:t>
      </w:r>
    </w:p>
    <w:p w14:paraId="0EB858C9">
      <w:pPr>
        <w:spacing w:before="0" w:after="0"/>
      </w:pPr>
    </w:p>
    <w:p w14:paraId="59DA8B0F">
      <w:pPr>
        <w:pStyle w:val="5"/>
      </w:pPr>
      <w:r>
        <w:rPr>
          <w:rFonts w:ascii="宋体" w:hAnsi="宋体" w:eastAsia="宋体"/>
          <w:b/>
          <w:color w:val="000000"/>
          <w:sz w:val="24"/>
        </w:rPr>
        <w:t>4.5.1 接口模块划分</w:t>
      </w:r>
    </w:p>
    <w:p w14:paraId="229668B8">
      <w:pPr>
        <w:spacing w:before="0" w:after="0"/>
      </w:pPr>
    </w:p>
    <w:p w14:paraId="0207AE97">
      <w:pPr>
        <w:pStyle w:val="5"/>
      </w:pPr>
      <w:r>
        <w:rPr>
          <w:rFonts w:ascii="宋体" w:hAnsi="宋体" w:eastAsia="宋体"/>
          <w:b/>
          <w:color w:val="000000"/>
          <w:sz w:val="24"/>
        </w:rPr>
        <w:t>4.5.2 部署方案设计</w:t>
      </w:r>
    </w:p>
    <w:p w14:paraId="681A292E">
      <w:pPr>
        <w:spacing w:before="0" w:after="0"/>
      </w:pPr>
    </w:p>
    <w:p w14:paraId="6FACD93A">
      <w:pPr>
        <w:spacing w:before="0" w:after="0"/>
      </w:pPr>
      <w:r>
        <w:br w:type="page"/>
      </w:r>
    </w:p>
    <w:p w14:paraId="1CC9041B">
      <w:pPr>
        <w:pStyle w:val="3"/>
      </w:pPr>
      <w:r>
        <w:rPr>
          <w:rFonts w:ascii="宋体" w:hAnsi="宋体" w:eastAsia="宋体"/>
          <w:b/>
          <w:color w:val="000000"/>
          <w:sz w:val="32"/>
        </w:rPr>
        <w:t>第5章 系统详细设计与实现</w:t>
      </w:r>
    </w:p>
    <w:p w14:paraId="3FAC849E">
      <w:pPr>
        <w:spacing w:before="0" w:after="0"/>
      </w:pPr>
    </w:p>
    <w:p w14:paraId="45E04C6B">
      <w:pPr>
        <w:pStyle w:val="4"/>
      </w:pPr>
      <w:r>
        <w:rPr>
          <w:rFonts w:ascii="宋体" w:hAnsi="宋体" w:eastAsia="宋体"/>
          <w:b/>
          <w:color w:val="000000"/>
          <w:sz w:val="28"/>
        </w:rPr>
        <w:t>5.1 开发环境的搭建</w:t>
      </w:r>
    </w:p>
    <w:p w14:paraId="6181F32A">
      <w:pPr>
        <w:spacing w:before="0" w:after="0"/>
      </w:pPr>
    </w:p>
    <w:p w14:paraId="43638D4E">
      <w:pPr>
        <w:pStyle w:val="4"/>
      </w:pPr>
      <w:r>
        <w:rPr>
          <w:rFonts w:ascii="宋体" w:hAnsi="宋体" w:eastAsia="宋体"/>
          <w:b/>
          <w:color w:val="000000"/>
          <w:sz w:val="28"/>
        </w:rPr>
        <w:t>5.2 核心功能模块实现</w:t>
      </w:r>
    </w:p>
    <w:p w14:paraId="18B6DA41">
      <w:pPr>
        <w:spacing w:before="0" w:after="0"/>
      </w:pPr>
    </w:p>
    <w:p w14:paraId="7F42EA75">
      <w:pPr>
        <w:pStyle w:val="5"/>
      </w:pPr>
      <w:r>
        <w:rPr>
          <w:rFonts w:ascii="宋体" w:hAnsi="宋体" w:eastAsia="宋体"/>
          <w:b/>
          <w:color w:val="000000"/>
          <w:sz w:val="24"/>
        </w:rPr>
        <w:t>5.2.1 用户与权限模块实现</w:t>
      </w:r>
    </w:p>
    <w:p w14:paraId="6FA5D15D">
      <w:pPr>
        <w:spacing w:before="0" w:after="0"/>
      </w:pPr>
    </w:p>
    <w:p w14:paraId="4472C116">
      <w:pPr>
        <w:pStyle w:val="5"/>
      </w:pPr>
      <w:r>
        <w:rPr>
          <w:rFonts w:ascii="宋体" w:hAnsi="宋体" w:eastAsia="宋体"/>
          <w:b/>
          <w:color w:val="000000"/>
          <w:sz w:val="24"/>
        </w:rPr>
        <w:t>5.2.2 订单管理模块实现</w:t>
      </w:r>
    </w:p>
    <w:p w14:paraId="2F754723">
      <w:pPr>
        <w:spacing w:before="0" w:after="0"/>
      </w:pPr>
    </w:p>
    <w:p w14:paraId="159237A4">
      <w:pPr>
        <w:pStyle w:val="5"/>
      </w:pPr>
      <w:r>
        <w:rPr>
          <w:rFonts w:ascii="宋体" w:hAnsi="宋体" w:eastAsia="宋体"/>
          <w:b/>
          <w:color w:val="000000"/>
          <w:sz w:val="24"/>
        </w:rPr>
        <w:t>5.2.3 低代码配置模块实现</w:t>
      </w:r>
    </w:p>
    <w:p w14:paraId="0793256A">
      <w:pPr>
        <w:spacing w:before="0" w:after="0"/>
      </w:pPr>
    </w:p>
    <w:p w14:paraId="5FB9F924">
      <w:pPr>
        <w:pStyle w:val="5"/>
      </w:pPr>
      <w:r>
        <w:rPr>
          <w:rFonts w:ascii="宋体" w:hAnsi="宋体" w:eastAsia="宋体"/>
          <w:b/>
          <w:color w:val="000000"/>
          <w:sz w:val="24"/>
        </w:rPr>
        <w:t>5.2.4 规则编排模块实现</w:t>
      </w:r>
    </w:p>
    <w:p w14:paraId="69182B26">
      <w:pPr>
        <w:spacing w:before="0" w:after="0"/>
      </w:pPr>
    </w:p>
    <w:p w14:paraId="6CB9C111">
      <w:pPr>
        <w:pStyle w:val="5"/>
      </w:pPr>
      <w:r>
        <w:rPr>
          <w:rFonts w:ascii="宋体" w:hAnsi="宋体" w:eastAsia="宋体"/>
          <w:b/>
          <w:color w:val="000000"/>
          <w:sz w:val="24"/>
        </w:rPr>
        <w:t>5.2.5 日志与审计模块实现</w:t>
      </w:r>
    </w:p>
    <w:p w14:paraId="13B00AC6">
      <w:pPr>
        <w:spacing w:before="0" w:after="0"/>
      </w:pPr>
    </w:p>
    <w:p w14:paraId="75EB1609">
      <w:pPr>
        <w:pStyle w:val="4"/>
      </w:pPr>
      <w:r>
        <w:rPr>
          <w:rFonts w:ascii="宋体" w:hAnsi="宋体" w:eastAsia="宋体"/>
          <w:b/>
          <w:color w:val="000000"/>
          <w:sz w:val="28"/>
        </w:rPr>
        <w:t>5.3 关键业务流程实现</w:t>
      </w:r>
    </w:p>
    <w:p w14:paraId="27D95A4E">
      <w:pPr>
        <w:spacing w:before="0" w:after="0"/>
      </w:pPr>
    </w:p>
    <w:p w14:paraId="68B7AC45">
      <w:pPr>
        <w:pStyle w:val="5"/>
      </w:pPr>
      <w:r>
        <w:rPr>
          <w:rFonts w:ascii="宋体" w:hAnsi="宋体" w:eastAsia="宋体"/>
          <w:b/>
          <w:color w:val="000000"/>
          <w:sz w:val="24"/>
        </w:rPr>
        <w:t>5.3.1 订单审核流程实现</w:t>
      </w:r>
    </w:p>
    <w:p w14:paraId="27091DF3">
      <w:pPr>
        <w:spacing w:before="0" w:after="0"/>
      </w:pPr>
    </w:p>
    <w:p w14:paraId="0026E036">
      <w:pPr>
        <w:pStyle w:val="5"/>
      </w:pPr>
      <w:r>
        <w:rPr>
          <w:rFonts w:ascii="宋体" w:hAnsi="宋体" w:eastAsia="宋体"/>
          <w:b/>
          <w:color w:val="000000"/>
          <w:sz w:val="24"/>
        </w:rPr>
        <w:t>5.3.2 自动分仓流程实现</w:t>
      </w:r>
    </w:p>
    <w:p w14:paraId="1848EEF4">
      <w:pPr>
        <w:spacing w:before="0" w:after="0"/>
      </w:pPr>
    </w:p>
    <w:p w14:paraId="040425B6">
      <w:pPr>
        <w:pStyle w:val="5"/>
      </w:pPr>
      <w:r>
        <w:rPr>
          <w:rFonts w:ascii="宋体" w:hAnsi="宋体" w:eastAsia="宋体"/>
          <w:b/>
          <w:color w:val="000000"/>
          <w:sz w:val="24"/>
        </w:rPr>
        <w:t>5.3.3 字段配置与动态渲染实现</w:t>
      </w:r>
    </w:p>
    <w:p w14:paraId="36AEBB64">
      <w:pPr>
        <w:spacing w:before="0" w:after="0"/>
      </w:pPr>
    </w:p>
    <w:p w14:paraId="4BEF35A5">
      <w:pPr>
        <w:pStyle w:val="5"/>
      </w:pPr>
      <w:r>
        <w:rPr>
          <w:rFonts w:ascii="宋体" w:hAnsi="宋体" w:eastAsia="宋体"/>
          <w:b/>
          <w:color w:val="000000"/>
          <w:sz w:val="24"/>
        </w:rPr>
        <w:t>5.3.4 规则试运行与发布回滚实现</w:t>
      </w:r>
    </w:p>
    <w:p w14:paraId="74888D65">
      <w:pPr>
        <w:spacing w:before="0" w:after="0"/>
      </w:pPr>
    </w:p>
    <w:p w14:paraId="4113FD7C">
      <w:pPr>
        <w:pStyle w:val="4"/>
      </w:pPr>
      <w:r>
        <w:rPr>
          <w:rFonts w:ascii="宋体" w:hAnsi="宋体" w:eastAsia="宋体"/>
          <w:b/>
          <w:color w:val="000000"/>
          <w:sz w:val="28"/>
        </w:rPr>
        <w:t>5.4 系统测试与验收</w:t>
      </w:r>
    </w:p>
    <w:p w14:paraId="467FBBFB">
      <w:pPr>
        <w:spacing w:before="0" w:after="0"/>
      </w:pPr>
    </w:p>
    <w:p w14:paraId="5D75C56B">
      <w:pPr>
        <w:pStyle w:val="5"/>
      </w:pPr>
      <w:r>
        <w:rPr>
          <w:rFonts w:ascii="宋体" w:hAnsi="宋体" w:eastAsia="宋体"/>
          <w:b/>
          <w:color w:val="000000"/>
          <w:sz w:val="24"/>
        </w:rPr>
        <w:t>5.4.1 功能测试</w:t>
      </w:r>
    </w:p>
    <w:p w14:paraId="673BB5CA">
      <w:pPr>
        <w:spacing w:before="0" w:after="0"/>
      </w:pPr>
    </w:p>
    <w:p w14:paraId="4B3D3B5A">
      <w:pPr>
        <w:pStyle w:val="5"/>
      </w:pPr>
      <w:r>
        <w:rPr>
          <w:rFonts w:ascii="宋体" w:hAnsi="宋体" w:eastAsia="宋体"/>
          <w:b/>
          <w:color w:val="000000"/>
          <w:sz w:val="24"/>
        </w:rPr>
        <w:t>5.4.2 验收结果分析</w:t>
      </w:r>
    </w:p>
    <w:p w14:paraId="22A0B952">
      <w:pPr>
        <w:spacing w:before="0" w:after="0"/>
      </w:pPr>
    </w:p>
    <w:p w14:paraId="44E481FB">
      <w:pPr>
        <w:spacing w:before="0" w:after="0"/>
      </w:pPr>
      <w:r>
        <w:br w:type="page"/>
      </w:r>
    </w:p>
    <w:p w14:paraId="64096BB0">
      <w:pPr>
        <w:pStyle w:val="3"/>
      </w:pPr>
      <w:r>
        <w:rPr>
          <w:rFonts w:ascii="宋体" w:hAnsi="宋体" w:eastAsia="宋体"/>
          <w:b/>
          <w:color w:val="000000"/>
          <w:sz w:val="32"/>
        </w:rPr>
        <w:t>第6章 总结与展望</w:t>
      </w:r>
    </w:p>
    <w:p w14:paraId="2CAB74C3">
      <w:pPr>
        <w:spacing w:before="0" w:after="0"/>
      </w:pPr>
    </w:p>
    <w:p w14:paraId="5E4BF1B3">
      <w:pPr>
        <w:pStyle w:val="4"/>
      </w:pPr>
      <w:r>
        <w:rPr>
          <w:rFonts w:ascii="宋体" w:hAnsi="宋体" w:eastAsia="宋体"/>
          <w:b/>
          <w:color w:val="000000"/>
          <w:sz w:val="28"/>
        </w:rPr>
        <w:t>6.1 工作总结</w:t>
      </w:r>
    </w:p>
    <w:p w14:paraId="7F9AD9C3">
      <w:pPr>
        <w:spacing w:before="0" w:after="0"/>
      </w:pPr>
    </w:p>
    <w:p w14:paraId="19B3833D">
      <w:pPr>
        <w:pStyle w:val="4"/>
      </w:pPr>
      <w:r>
        <w:rPr>
          <w:rFonts w:ascii="宋体" w:hAnsi="宋体" w:eastAsia="宋体"/>
          <w:b/>
          <w:color w:val="000000"/>
          <w:sz w:val="28"/>
        </w:rPr>
        <w:t>6.2 主要成果与创新点</w:t>
      </w:r>
    </w:p>
    <w:p w14:paraId="0DA821C0">
      <w:pPr>
        <w:spacing w:before="0" w:after="0"/>
      </w:pPr>
    </w:p>
    <w:p w14:paraId="7FD0CF44">
      <w:pPr>
        <w:pStyle w:val="4"/>
      </w:pPr>
      <w:r>
        <w:rPr>
          <w:rFonts w:ascii="宋体" w:hAnsi="宋体" w:eastAsia="宋体"/>
          <w:b/>
          <w:color w:val="000000"/>
          <w:sz w:val="28"/>
        </w:rPr>
        <w:t>6.3 不足与展望</w:t>
      </w:r>
    </w:p>
    <w:p w14:paraId="13776566">
      <w:pPr>
        <w:spacing w:before="0" w:after="0"/>
      </w:pPr>
    </w:p>
    <w:p w14:paraId="2AC228C5">
      <w:pPr>
        <w:spacing w:before="0" w:after="0"/>
      </w:pPr>
      <w: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3DF9A9C"/>
    <w:rsid w:val="F6EBC5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kon</cp:lastModifiedBy>
  <dcterms:modified xsi:type="dcterms:W3CDTF">2026-03-22T19:27:48Z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