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A0EDD9">
      <w:pPr>
        <w:spacing w:before="320" w:after="360"/>
        <w:jc w:val="center"/>
        <w:rPr>
          <w:sz w:val="32"/>
          <w:szCs w:val="32"/>
        </w:rPr>
      </w:pPr>
      <w:r>
        <w:rPr>
          <w:rFonts w:ascii="宋体" w:hAnsi="宋体" w:eastAsia="宋体"/>
          <w:b/>
          <w:sz w:val="32"/>
          <w:szCs w:val="32"/>
        </w:rPr>
        <w:t>面向中小电商的低代码订单管理系统的设计与实现</w:t>
      </w:r>
    </w:p>
    <w:p w14:paraId="34EC93C3">
      <w:pPr>
        <w:jc w:val="center"/>
      </w:pPr>
      <w:r>
        <w:rPr>
          <w:rFonts w:ascii="宋体" w:hAnsi="宋体" w:eastAsia="宋体"/>
          <w:b w:val="0"/>
          <w:sz w:val="28"/>
        </w:rPr>
        <w:t>报告框架（仅标题与目录）</w:t>
      </w:r>
    </w:p>
    <w:p w14:paraId="6FE0D7F2">
      <w:pPr>
        <w:spacing w:before="0" w:after="0"/>
      </w:pPr>
    </w:p>
    <w:p w14:paraId="0D82C51F">
      <w:pPr>
        <w:spacing w:before="0" w:after="0"/>
      </w:pPr>
    </w:p>
    <w:p w14:paraId="61251E87">
      <w:pPr>
        <w:spacing w:before="0" w:after="0"/>
      </w:pPr>
    </w:p>
    <w:p w14:paraId="51711FC2">
      <w:pPr>
        <w:spacing w:before="0" w:after="0"/>
      </w:pPr>
    </w:p>
    <w:p w14:paraId="63D0460F">
      <w:pPr>
        <w:spacing w:before="0" w:after="0"/>
      </w:pPr>
    </w:p>
    <w:p w14:paraId="2614BB8B">
      <w:pPr>
        <w:jc w:val="center"/>
      </w:pPr>
      <w:r>
        <w:rPr>
          <w:rFonts w:ascii="宋体" w:hAnsi="宋体" w:eastAsia="宋体"/>
          <w:b w:val="0"/>
          <w:sz w:val="24"/>
        </w:rPr>
        <w:t>学生：</w:t>
      </w:r>
    </w:p>
    <w:p w14:paraId="0423E4BB">
      <w:pPr>
        <w:jc w:val="center"/>
      </w:pPr>
      <w:r>
        <w:rPr>
          <w:rFonts w:ascii="宋体" w:hAnsi="宋体" w:eastAsia="宋体"/>
          <w:b w:val="0"/>
          <w:sz w:val="24"/>
        </w:rPr>
        <w:t>指导教师：</w:t>
      </w:r>
    </w:p>
    <w:p w14:paraId="16890CA3">
      <w:pPr>
        <w:jc w:val="center"/>
      </w:pPr>
      <w:r>
        <w:rPr>
          <w:rFonts w:ascii="宋体" w:hAnsi="宋体" w:eastAsia="宋体"/>
          <w:b w:val="0"/>
          <w:sz w:val="24"/>
        </w:rPr>
        <w:t>专业：</w:t>
      </w:r>
    </w:p>
    <w:p w14:paraId="1E70A260">
      <w:pPr>
        <w:jc w:val="center"/>
      </w:pPr>
      <w:r>
        <w:rPr>
          <w:rFonts w:ascii="宋体" w:hAnsi="宋体" w:eastAsia="宋体"/>
          <w:b w:val="0"/>
          <w:sz w:val="24"/>
        </w:rPr>
        <w:t>日期：</w:t>
      </w:r>
    </w:p>
    <w:p w14:paraId="043BFE51">
      <w:pPr>
        <w:spacing w:before="0" w:after="0"/>
      </w:pPr>
      <w:r>
        <w:br w:type="page"/>
      </w:r>
    </w:p>
    <w:p w14:paraId="6708476D">
      <w:pPr>
        <w:spacing w:before="240" w:after="480"/>
        <w:jc w:val="both"/>
        <w:rPr>
          <w:rFonts w:hint="eastAsia"/>
          <w:b/>
          <w:sz w:val="24"/>
          <w:szCs w:val="24"/>
          <w:lang w:val="en-US" w:eastAsia="zh-CN"/>
        </w:rPr>
      </w:pPr>
      <w:r>
        <w:rPr>
          <w:rFonts w:ascii="宋体" w:hAnsi="宋体" w:eastAsia="宋体"/>
          <w:b/>
          <w:sz w:val="32"/>
        </w:rPr>
        <w:t>摘  要</w:t>
      </w:r>
    </w:p>
    <w:p w14:paraId="12C85BD9">
      <w:pPr>
        <w:spacing w:before="240" w:after="480"/>
        <w:jc w:val="both"/>
        <w:rPr>
          <w:rFonts w:hint="eastAsia"/>
          <w:b w:val="0"/>
          <w:bCs/>
          <w:sz w:val="24"/>
          <w:szCs w:val="24"/>
          <w:lang w:val="en-US" w:eastAsia="zh-CN"/>
        </w:rPr>
      </w:pPr>
      <w:r>
        <w:rPr>
          <w:rFonts w:hint="eastAsia"/>
          <w:b w:val="0"/>
          <w:bCs/>
          <w:sz w:val="24"/>
          <w:szCs w:val="24"/>
          <w:lang w:val="en-US" w:eastAsia="zh-CN"/>
        </w:rPr>
        <w:t>随着直播电商、社交电商与跨境电商的持续发展，中小电商企业的订单数量、商品品类和促销活动频率不断提升，订单处理流程日趋复杂。然而，受限于人力、资金和技术能力，许多中小电商企业仍主要依赖 Excel 或通用 ERP 进行订单管理，普遍存在流程割裂、数据滞后、协同效率低以及系统改造成本高等问题。在此背景下，低代码技术凭借配置化开发、快速交付和灵活调整的特点，为中小电商订单管理系统建设提供了新的实现路径。</w:t>
      </w:r>
    </w:p>
    <w:p w14:paraId="21DD2B8C">
      <w:pPr>
        <w:spacing w:before="240" w:after="480"/>
        <w:jc w:val="both"/>
        <w:rPr>
          <w:rFonts w:hint="eastAsia"/>
          <w:b w:val="0"/>
          <w:bCs/>
          <w:sz w:val="24"/>
          <w:szCs w:val="24"/>
          <w:lang w:val="en-US" w:eastAsia="zh-CN"/>
        </w:rPr>
      </w:pPr>
      <w:r>
        <w:rPr>
          <w:rFonts w:hint="eastAsia"/>
          <w:b w:val="0"/>
          <w:bCs/>
          <w:sz w:val="24"/>
          <w:szCs w:val="24"/>
          <w:lang w:val="en-US" w:eastAsia="zh-CN"/>
        </w:rPr>
        <w:t xml:space="preserve">本文面向中小电商订单履约场景，设计并实现一套低代码订单管理系统。系统以“订单管理后台、低代码配置平台、可视化规则编排引擎”为核心能力，围绕订单全生命周期管理需求，支持订单创建或导入、审核、分仓、发货、取消、完成等基础业务流程，并支持通过元数据配置方式实现字段、页面、表单、详情页及操作按钮的动态定义与渲染；同时，结合可视化规则编排能力，实现审核规则、分仓规则、标签与备注自动化处理，从而提升系统对业务变化的适应能力。根据需求分析，系统强调关键业务动作的可追踪、可审计、可回放，并提供配置发布、版本管理与回滚机制，以保证平台配置的可治理性与运行稳定性。  </w:t>
      </w:r>
    </w:p>
    <w:p w14:paraId="7741B328">
      <w:pPr>
        <w:spacing w:before="240" w:after="480"/>
        <w:jc w:val="both"/>
        <w:rPr>
          <w:rFonts w:hint="eastAsia"/>
          <w:b w:val="0"/>
          <w:bCs/>
          <w:sz w:val="24"/>
          <w:szCs w:val="24"/>
          <w:lang w:val="en-US" w:eastAsia="zh-CN"/>
        </w:rPr>
      </w:pPr>
      <w:r>
        <w:rPr>
          <w:rFonts w:hint="eastAsia"/>
          <w:b w:val="0"/>
          <w:bCs/>
          <w:sz w:val="24"/>
          <w:szCs w:val="24"/>
          <w:lang w:val="en-US" w:eastAsia="zh-CN"/>
        </w:rPr>
        <w:t>在技术实现上，系统采用 TypeScript 全栈单仓模式，基于 Next.js 构建前后端一体化应用，结合 Ant Design Pro 实现中后台界面开发，使用 Supabase PostgreSQL 作为核心数据存储，借助 Prisma 进行数据模型管理，并通过 React Flow 构建规则画布与节点式编排能力。该方案能够有效降低前后端分离带来的接口联调与部署复杂度，更适合毕业设计和原型系统阶段“快速开发、快速上线、可部署验证”的实施目标。系统建设坚持“先完成订单场景闭环，再逐步抽象平台能力”的原则，以最小可行产品方式优先实现登录鉴权、订单管理、元数据配置、规则画布和部署上线等关键功能，为后续案例验证和系统扩展奠定基础。</w:t>
      </w:r>
    </w:p>
    <w:p w14:paraId="61BCC9F0">
      <w:pPr>
        <w:spacing w:before="240" w:after="480"/>
        <w:jc w:val="both"/>
        <w:rPr>
          <w:rFonts w:hint="eastAsia"/>
          <w:b/>
          <w:sz w:val="24"/>
          <w:szCs w:val="24"/>
          <w:lang w:val="en-US" w:eastAsia="zh-CN"/>
        </w:rPr>
      </w:pPr>
      <w:r>
        <w:rPr>
          <w:rFonts w:hint="eastAsia"/>
          <w:b w:val="0"/>
          <w:bCs/>
          <w:sz w:val="24"/>
          <w:szCs w:val="24"/>
          <w:lang w:val="en-US" w:eastAsia="zh-CN"/>
        </w:rPr>
        <w:t>本文的研究与实践表明，面向中小电商场景构建低代码订单管理系统，能够在保障核心业务闭环的前提下，提高系统交付效率与业务配置灵活性，降低系统建设与维护成本，对中小电商信息化建设具有一定的应用价值和现实意义。</w:t>
      </w:r>
    </w:p>
    <w:p w14:paraId="149CFA7F">
      <w:pPr>
        <w:rPr>
          <w:rFonts w:hint="eastAsia"/>
          <w:b w:val="0"/>
          <w:bCs/>
          <w:sz w:val="24"/>
          <w:szCs w:val="24"/>
          <w:lang w:val="en-US" w:eastAsia="zh-CN"/>
        </w:rPr>
      </w:pPr>
      <w:r>
        <w:rPr>
          <w:rFonts w:hint="eastAsia" w:ascii="黑体" w:hAnsi="黑体" w:eastAsia="黑体" w:cs="黑体"/>
          <w:b w:val="0"/>
          <w:sz w:val="32"/>
          <w:szCs w:val="32"/>
        </w:rPr>
        <w:t>关键词</w:t>
      </w:r>
      <w:r>
        <w:rPr>
          <w:rFonts w:ascii="宋体" w:hAnsi="宋体" w:eastAsia="宋体"/>
          <w:b w:val="0"/>
          <w:sz w:val="24"/>
        </w:rPr>
        <w:t>：</w:t>
      </w:r>
      <w:r>
        <w:rPr>
          <w:rFonts w:hint="eastAsia"/>
          <w:b w:val="0"/>
          <w:bCs/>
          <w:sz w:val="24"/>
          <w:szCs w:val="24"/>
          <w:lang w:val="en-US" w:eastAsia="zh-CN"/>
        </w:rPr>
        <w:t>中小电商；低代码；订单管理系统；元数据配置；规则编排；Next.js</w:t>
      </w:r>
    </w:p>
    <w:p w14:paraId="535610EA">
      <w:pPr>
        <w:spacing w:before="0" w:after="0"/>
      </w:pPr>
    </w:p>
    <w:p w14:paraId="044A1445">
      <w:pPr>
        <w:spacing w:before="240" w:after="480"/>
        <w:jc w:val="both"/>
        <w:rPr>
          <w:rFonts w:ascii="宋体" w:hAnsi="宋体" w:eastAsia="宋体"/>
          <w:b/>
          <w:sz w:val="32"/>
        </w:rPr>
      </w:pPr>
      <w:r>
        <w:rPr>
          <w:rFonts w:hint="eastAsia" w:ascii="黑体" w:hAnsi="黑体" w:eastAsia="黑体" w:cs="黑体"/>
          <w:b/>
          <w:sz w:val="32"/>
        </w:rPr>
        <w:t>Abstract</w:t>
      </w:r>
    </w:p>
    <w:p w14:paraId="5BCE75D0">
      <w:pPr>
        <w:spacing w:before="240" w:after="480"/>
        <w:jc w:val="both"/>
        <w:rPr>
          <w:rFonts w:hint="eastAsia"/>
          <w:b w:val="0"/>
          <w:bCs/>
          <w:sz w:val="24"/>
          <w:szCs w:val="24"/>
          <w:lang w:val="en-US" w:eastAsia="zh-CN"/>
        </w:rPr>
      </w:pPr>
      <w:r>
        <w:rPr>
          <w:rFonts w:hint="eastAsia"/>
          <w:b w:val="0"/>
          <w:bCs/>
          <w:sz w:val="24"/>
          <w:szCs w:val="24"/>
          <w:lang w:val="en-US" w:eastAsia="zh-CN"/>
        </w:rPr>
        <w:t xml:space="preserve">With the continuous development of live-streaming e-commerce, social e-commerce and cross-border e-commerce, the order volume, product categories and frequency of promotional activities of small and medium-sized e-commerce enterprises are constantly increasing, and the order processing procedures are becoming increasingly complex. However, due to limitations in human resources, funds and technical capabilities, many small and medium-sized e-commerce enterprises still mainly rely on Excel or general ERP systems for order management, which generally suffer from fragmented processes, lagging data, low collaboration efficiency and high system transformation costs. Against this backdrop, low-code technology, with its characteristics of configurable development, rapid delivery and flexible adjustment, provides a new implementation path for the construction of order management systems for small and medium-sized e-commerce enterprises. </w:t>
      </w:r>
    </w:p>
    <w:p w14:paraId="2B493D62">
      <w:pPr>
        <w:rPr>
          <w:rFonts w:hint="eastAsia"/>
          <w:b w:val="0"/>
          <w:bCs/>
          <w:sz w:val="24"/>
          <w:szCs w:val="24"/>
          <w:lang w:val="en-US" w:eastAsia="zh-CN"/>
        </w:rPr>
      </w:pPr>
      <w:r>
        <w:rPr>
          <w:rFonts w:hint="eastAsia"/>
          <w:b w:val="0"/>
          <w:bCs/>
          <w:sz w:val="24"/>
          <w:szCs w:val="24"/>
          <w:lang w:val="en-US" w:eastAsia="zh-CN"/>
        </w:rPr>
        <w:t xml:space="preserve">This article designs and implements a low-code order management system for the order fulfillment scenarios of small and medium-sized e-commerce businesses. The system takes "order management backend, low-code configuration platform, and visual rule orchestration engine" as its core capabilities. It supports the basic business processes such as order creation or import, review, warehouse allocation, shipment, cancellation, and completion, covering the entire order lifecycle management requirements. Moreover, it enables the dynamic definition and rendering of fields, pages, forms, detail pages, and operation buttons through metadata configuration. By integrating the visual rule orchestration capability, it realizes the automatic processing of review rules, warehouse allocation rules, tags, and remarks, thereby enhancing the system's adaptability to business changes. Based on the demand analysis, the system emphasizes the traceability, auditability, and replayability of key business actions, and provides configuration release, version management, and rollback mechanisms to ensure the governance and operational stability of the platform configuration. </w:t>
      </w:r>
    </w:p>
    <w:p w14:paraId="0A0CAC41">
      <w:pPr>
        <w:rPr>
          <w:rFonts w:hint="eastAsia"/>
          <w:b w:val="0"/>
          <w:bCs/>
          <w:sz w:val="24"/>
          <w:szCs w:val="24"/>
          <w:lang w:val="en-US" w:eastAsia="zh-CN"/>
        </w:rPr>
      </w:pPr>
      <w:r>
        <w:rPr>
          <w:rFonts w:hint="eastAsia"/>
          <w:b w:val="0"/>
          <w:bCs/>
          <w:sz w:val="24"/>
          <w:szCs w:val="24"/>
          <w:lang w:val="en-US" w:eastAsia="zh-CN"/>
        </w:rPr>
        <w:t xml:space="preserve">In terms of technical implementation, the system adopts a full-stack monorepo model based on TypeScript, builds a front-end and back-end integrated application with Next.js, and implements the development of the middle and back-end interfaces with Ant Design Pro. It uses Supabase PostgreSQL as the core data storage, manages the data model with Prisma, and builds the rule canvas and node-based orchestration capabilities with React Flow. This solution can effectively reduce the complexity of interface integration and deployment caused by the separation of front-end and back-end, and is more suitable for the implementation goals of "fast development, fast launch, and deployable verification" in the graduation design and prototype system stage. The system construction adheres to the principle of "completing the order scenario loop first, and then gradually abstracting platform capabilities", and prioritizes the realization of key functions such as login authentication, order management, metadata configuration, rule canvas, and deployment launch in the form of a minimum viable product, laying the foundation for subsequent case verification and system expansion. </w:t>
      </w:r>
    </w:p>
    <w:p w14:paraId="5C56CA43">
      <w:pPr>
        <w:rPr>
          <w:rFonts w:hint="eastAsia"/>
          <w:b w:val="0"/>
          <w:bCs/>
          <w:sz w:val="24"/>
          <w:szCs w:val="24"/>
          <w:lang w:val="en-US" w:eastAsia="zh-CN"/>
        </w:rPr>
      </w:pPr>
      <w:r>
        <w:rPr>
          <w:rFonts w:hint="eastAsia"/>
          <w:b w:val="0"/>
          <w:bCs/>
          <w:sz w:val="24"/>
          <w:szCs w:val="24"/>
          <w:lang w:val="en-US" w:eastAsia="zh-CN"/>
        </w:rPr>
        <w:t xml:space="preserve">The research and practice of this article show that building a low-code order management system for small and medium-sized e-commerce scenarios can improve the efficiency of system delivery and the flexibility of business configuration while ensuring the closed loop of core business. It can also reduce the cost of system construction and maintenance, which has certain application value and practical significance for the informatization construction of small and medium-sized e-commerce. </w:t>
      </w:r>
    </w:p>
    <w:p w14:paraId="669F0103">
      <w:pPr>
        <w:rPr>
          <w:rFonts w:ascii="宋体" w:hAnsi="宋体" w:eastAsia="宋体"/>
          <w:b/>
          <w:sz w:val="32"/>
        </w:rPr>
      </w:pPr>
      <w:r>
        <w:rPr>
          <w:rFonts w:hint="eastAsia" w:ascii="黑体" w:hAnsi="黑体" w:eastAsia="黑体" w:cs="黑体"/>
          <w:b w:val="0"/>
          <w:bCs/>
          <w:sz w:val="32"/>
          <w:szCs w:val="32"/>
          <w:lang w:val="en-US" w:eastAsia="zh-CN"/>
        </w:rPr>
        <w:t>Keywords</w:t>
      </w:r>
      <w:r>
        <w:rPr>
          <w:rFonts w:hint="eastAsia"/>
          <w:b w:val="0"/>
          <w:bCs/>
          <w:sz w:val="24"/>
          <w:szCs w:val="24"/>
          <w:lang w:val="en-US" w:eastAsia="zh-CN"/>
        </w:rPr>
        <w:t>: Small and medium-sized e-commerce; Low-code; Order management system; Metadata configuration; Rule orchestration; Next.js</w:t>
      </w:r>
      <w:r>
        <w:br w:type="page"/>
      </w:r>
    </w:p>
    <w:p w14:paraId="77861C79">
      <w:pPr>
        <w:spacing w:before="240" w:after="480"/>
        <w:jc w:val="center"/>
      </w:pPr>
      <w:r>
        <w:rPr>
          <w:rFonts w:ascii="宋体" w:hAnsi="宋体" w:eastAsia="宋体"/>
          <w:b/>
          <w:sz w:val="32"/>
        </w:rPr>
        <w:t>目  录</w:t>
      </w:r>
    </w:p>
    <w:p w14:paraId="592E0AF6">
      <w:pPr>
        <w:spacing w:after="0" w:line="276" w:lineRule="auto"/>
        <w:ind w:left="0"/>
      </w:pPr>
      <w:r>
        <w:rPr>
          <w:rFonts w:ascii="宋体" w:hAnsi="宋体" w:eastAsia="宋体"/>
          <w:b w:val="0"/>
          <w:sz w:val="24"/>
        </w:rPr>
        <w:t>第1章 绪论</w:t>
      </w:r>
    </w:p>
    <w:p w14:paraId="150CBDB1">
      <w:pPr>
        <w:spacing w:after="0" w:line="276" w:lineRule="auto"/>
        <w:ind w:left="454"/>
      </w:pPr>
      <w:r>
        <w:rPr>
          <w:rFonts w:ascii="宋体" w:hAnsi="宋体" w:eastAsia="宋体"/>
          <w:b w:val="0"/>
          <w:sz w:val="24"/>
        </w:rPr>
        <w:t>1.1 研究背景与意义</w:t>
      </w:r>
    </w:p>
    <w:p w14:paraId="0485F3ED">
      <w:pPr>
        <w:spacing w:after="0" w:line="276" w:lineRule="auto"/>
        <w:ind w:left="454"/>
      </w:pPr>
      <w:r>
        <w:rPr>
          <w:rFonts w:ascii="宋体" w:hAnsi="宋体" w:eastAsia="宋体"/>
          <w:b w:val="0"/>
          <w:sz w:val="24"/>
        </w:rPr>
        <w:t>1.2 国内外研究现状</w:t>
      </w:r>
    </w:p>
    <w:p w14:paraId="789903FA">
      <w:pPr>
        <w:spacing w:after="0" w:line="276" w:lineRule="auto"/>
        <w:ind w:left="454"/>
      </w:pPr>
      <w:r>
        <w:rPr>
          <w:rFonts w:ascii="宋体" w:hAnsi="宋体" w:eastAsia="宋体"/>
          <w:b w:val="0"/>
          <w:sz w:val="24"/>
        </w:rPr>
        <w:t>1.3 研究方法与内容</w:t>
      </w:r>
    </w:p>
    <w:p w14:paraId="3EE07CB7">
      <w:pPr>
        <w:spacing w:after="0" w:line="276" w:lineRule="auto"/>
        <w:ind w:left="907"/>
      </w:pPr>
      <w:r>
        <w:rPr>
          <w:rFonts w:ascii="宋体" w:hAnsi="宋体" w:eastAsia="宋体"/>
          <w:b w:val="0"/>
          <w:sz w:val="24"/>
        </w:rPr>
        <w:t>1.3.1 研究方法</w:t>
      </w:r>
    </w:p>
    <w:p w14:paraId="76327781">
      <w:pPr>
        <w:spacing w:after="0" w:line="276" w:lineRule="auto"/>
        <w:ind w:left="907"/>
      </w:pPr>
      <w:r>
        <w:rPr>
          <w:rFonts w:ascii="宋体" w:hAnsi="宋体" w:eastAsia="宋体"/>
          <w:b w:val="0"/>
          <w:sz w:val="24"/>
        </w:rPr>
        <w:t>1.3.2 研究内容</w:t>
      </w:r>
    </w:p>
    <w:p w14:paraId="76B0F2C0">
      <w:pPr>
        <w:spacing w:after="0" w:line="276" w:lineRule="auto"/>
        <w:ind w:left="0"/>
      </w:pPr>
      <w:r>
        <w:rPr>
          <w:rFonts w:ascii="宋体" w:hAnsi="宋体" w:eastAsia="宋体"/>
          <w:b w:val="0"/>
          <w:sz w:val="24"/>
        </w:rPr>
        <w:t>第2章 相关技术与理论</w:t>
      </w:r>
    </w:p>
    <w:p w14:paraId="052AA481">
      <w:pPr>
        <w:spacing w:after="0" w:line="276" w:lineRule="auto"/>
        <w:ind w:left="454"/>
      </w:pPr>
      <w:r>
        <w:rPr>
          <w:rFonts w:ascii="宋体" w:hAnsi="宋体" w:eastAsia="宋体"/>
          <w:b w:val="0"/>
          <w:sz w:val="24"/>
        </w:rPr>
        <w:t>2.1 Next.js全栈框架技术概述</w:t>
      </w:r>
    </w:p>
    <w:p w14:paraId="63B37413">
      <w:pPr>
        <w:spacing w:after="0" w:line="276" w:lineRule="auto"/>
        <w:ind w:left="907"/>
      </w:pPr>
      <w:r>
        <w:rPr>
          <w:rFonts w:ascii="宋体" w:hAnsi="宋体" w:eastAsia="宋体"/>
          <w:b w:val="0"/>
          <w:sz w:val="24"/>
        </w:rPr>
        <w:t>2.1.1 Next.js App Router</w:t>
      </w:r>
    </w:p>
    <w:p w14:paraId="791CA31A">
      <w:pPr>
        <w:spacing w:after="0" w:line="276" w:lineRule="auto"/>
        <w:ind w:left="907"/>
      </w:pPr>
      <w:r>
        <w:rPr>
          <w:rFonts w:ascii="宋体" w:hAnsi="宋体" w:eastAsia="宋体"/>
          <w:b w:val="0"/>
          <w:sz w:val="24"/>
        </w:rPr>
        <w:t>2.1.2 Route Handlers与全栈单仓模式</w:t>
      </w:r>
    </w:p>
    <w:p w14:paraId="73F8D0D3">
      <w:pPr>
        <w:spacing w:after="0" w:line="276" w:lineRule="auto"/>
        <w:ind w:left="454"/>
      </w:pPr>
      <w:r>
        <w:rPr>
          <w:rFonts w:ascii="宋体" w:hAnsi="宋体" w:eastAsia="宋体"/>
          <w:b w:val="0"/>
          <w:sz w:val="24"/>
        </w:rPr>
        <w:t>2.2 前端与可视化开发技术</w:t>
      </w:r>
    </w:p>
    <w:p w14:paraId="33D0B8E6">
      <w:pPr>
        <w:spacing w:after="0" w:line="276" w:lineRule="auto"/>
        <w:ind w:left="907"/>
      </w:pPr>
      <w:r>
        <w:rPr>
          <w:rFonts w:ascii="宋体" w:hAnsi="宋体" w:eastAsia="宋体"/>
          <w:b w:val="0"/>
          <w:sz w:val="24"/>
        </w:rPr>
        <w:t>2.2.1 Ant Design与ProComponents</w:t>
      </w:r>
    </w:p>
    <w:p w14:paraId="0DB9F249">
      <w:pPr>
        <w:spacing w:after="0" w:line="276" w:lineRule="auto"/>
        <w:ind w:left="907"/>
      </w:pPr>
      <w:r>
        <w:rPr>
          <w:rFonts w:ascii="宋体" w:hAnsi="宋体" w:eastAsia="宋体"/>
          <w:b w:val="0"/>
          <w:sz w:val="24"/>
        </w:rPr>
        <w:t>2.2.2 React Flow可视化编排技术</w:t>
      </w:r>
    </w:p>
    <w:p w14:paraId="059A7BC7">
      <w:pPr>
        <w:spacing w:after="0" w:line="276" w:lineRule="auto"/>
        <w:ind w:left="454"/>
      </w:pPr>
      <w:r>
        <w:rPr>
          <w:rFonts w:ascii="宋体" w:hAnsi="宋体" w:eastAsia="宋体"/>
          <w:b w:val="0"/>
          <w:sz w:val="24"/>
        </w:rPr>
        <w:t>2.3 数据与后端支撑技术</w:t>
      </w:r>
    </w:p>
    <w:p w14:paraId="10EC263E">
      <w:pPr>
        <w:spacing w:after="0" w:line="276" w:lineRule="auto"/>
        <w:ind w:left="907"/>
      </w:pPr>
      <w:r>
        <w:rPr>
          <w:rFonts w:ascii="宋体" w:hAnsi="宋体" w:eastAsia="宋体"/>
          <w:b w:val="0"/>
          <w:sz w:val="24"/>
        </w:rPr>
        <w:t>2.3.1 Supabase PostgreSQL</w:t>
      </w:r>
    </w:p>
    <w:p w14:paraId="393DFA9E">
      <w:pPr>
        <w:spacing w:after="0" w:line="276" w:lineRule="auto"/>
        <w:ind w:left="907"/>
      </w:pPr>
      <w:r>
        <w:rPr>
          <w:rFonts w:ascii="宋体" w:hAnsi="宋体" w:eastAsia="宋体"/>
          <w:b w:val="0"/>
          <w:sz w:val="24"/>
        </w:rPr>
        <w:t>2.3.2 Prisma ORM</w:t>
      </w:r>
    </w:p>
    <w:p w14:paraId="64D86F8B">
      <w:pPr>
        <w:spacing w:after="0" w:line="276" w:lineRule="auto"/>
        <w:ind w:left="907"/>
      </w:pPr>
      <w:r>
        <w:rPr>
          <w:rFonts w:ascii="宋体" w:hAnsi="宋体" w:eastAsia="宋体"/>
          <w:b w:val="0"/>
          <w:sz w:val="24"/>
        </w:rPr>
        <w:t>2.3.3 Zod运行时校验</w:t>
      </w:r>
    </w:p>
    <w:p w14:paraId="3DAE736B">
      <w:pPr>
        <w:spacing w:after="0" w:line="276" w:lineRule="auto"/>
        <w:ind w:left="454"/>
      </w:pPr>
      <w:r>
        <w:rPr>
          <w:rFonts w:ascii="宋体" w:hAnsi="宋体" w:eastAsia="宋体"/>
          <w:b w:val="0"/>
          <w:sz w:val="24"/>
        </w:rPr>
        <w:t>2.4 低代码与元数据驱动理论</w:t>
      </w:r>
    </w:p>
    <w:p w14:paraId="2EB4BED9">
      <w:pPr>
        <w:spacing w:after="0" w:line="276" w:lineRule="auto"/>
        <w:ind w:left="907"/>
      </w:pPr>
      <w:r>
        <w:rPr>
          <w:rFonts w:ascii="宋体" w:hAnsi="宋体" w:eastAsia="宋体"/>
          <w:b w:val="0"/>
          <w:sz w:val="24"/>
        </w:rPr>
        <w:t>2.4.1 元数据建模思想</w:t>
      </w:r>
    </w:p>
    <w:p w14:paraId="72A8036C">
      <w:pPr>
        <w:spacing w:after="0" w:line="276" w:lineRule="auto"/>
        <w:ind w:left="907"/>
      </w:pPr>
      <w:r>
        <w:rPr>
          <w:rFonts w:ascii="宋体" w:hAnsi="宋体" w:eastAsia="宋体"/>
          <w:b w:val="0"/>
          <w:sz w:val="24"/>
        </w:rPr>
        <w:t>2.4.2 动态渲染机制</w:t>
      </w:r>
    </w:p>
    <w:p w14:paraId="6B753BBF">
      <w:pPr>
        <w:spacing w:after="0" w:line="276" w:lineRule="auto"/>
        <w:ind w:left="454"/>
      </w:pPr>
      <w:r>
        <w:rPr>
          <w:rFonts w:ascii="宋体" w:hAnsi="宋体" w:eastAsia="宋体"/>
          <w:b w:val="0"/>
          <w:sz w:val="24"/>
        </w:rPr>
        <w:t>2.5 规则引擎相关理论</w:t>
      </w:r>
    </w:p>
    <w:p w14:paraId="79CAA18D">
      <w:pPr>
        <w:spacing w:after="0" w:line="276" w:lineRule="auto"/>
        <w:ind w:left="907"/>
      </w:pPr>
      <w:r>
        <w:rPr>
          <w:rFonts w:ascii="宋体" w:hAnsi="宋体" w:eastAsia="宋体"/>
          <w:b w:val="0"/>
          <w:sz w:val="24"/>
        </w:rPr>
        <w:t>2.5.1 可视化规则编排</w:t>
      </w:r>
    </w:p>
    <w:p w14:paraId="024144B3">
      <w:pPr>
        <w:spacing w:after="0" w:line="276" w:lineRule="auto"/>
        <w:ind w:left="907"/>
      </w:pPr>
      <w:r>
        <w:rPr>
          <w:rFonts w:ascii="宋体" w:hAnsi="宋体" w:eastAsia="宋体"/>
          <w:b w:val="0"/>
          <w:sz w:val="24"/>
        </w:rPr>
        <w:t>2.5.2 规则执行与版本治理</w:t>
      </w:r>
    </w:p>
    <w:p w14:paraId="420E83B5">
      <w:pPr>
        <w:spacing w:after="0" w:line="276" w:lineRule="auto"/>
        <w:ind w:left="0"/>
      </w:pPr>
      <w:r>
        <w:rPr>
          <w:rFonts w:ascii="宋体" w:hAnsi="宋体" w:eastAsia="宋体"/>
          <w:b w:val="0"/>
          <w:sz w:val="24"/>
        </w:rPr>
        <w:t>第3章 系统需求分析</w:t>
      </w:r>
    </w:p>
    <w:p w14:paraId="288AED0F">
      <w:pPr>
        <w:spacing w:after="0" w:line="276" w:lineRule="auto"/>
        <w:ind w:left="454"/>
      </w:pPr>
      <w:r>
        <w:rPr>
          <w:rFonts w:ascii="宋体" w:hAnsi="宋体" w:eastAsia="宋体"/>
          <w:b w:val="0"/>
          <w:sz w:val="24"/>
        </w:rPr>
        <w:t>3.1 业务需求分析</w:t>
      </w:r>
    </w:p>
    <w:p w14:paraId="76FCA940">
      <w:pPr>
        <w:spacing w:after="0" w:line="276" w:lineRule="auto"/>
        <w:ind w:left="454"/>
      </w:pPr>
      <w:r>
        <w:rPr>
          <w:rFonts w:ascii="宋体" w:hAnsi="宋体" w:eastAsia="宋体"/>
          <w:b w:val="0"/>
          <w:sz w:val="24"/>
        </w:rPr>
        <w:t>3.2 用户角色分析</w:t>
      </w:r>
    </w:p>
    <w:p w14:paraId="2CECF595">
      <w:pPr>
        <w:spacing w:after="0" w:line="276" w:lineRule="auto"/>
        <w:ind w:left="454"/>
      </w:pPr>
      <w:r>
        <w:rPr>
          <w:rFonts w:ascii="宋体" w:hAnsi="宋体" w:eastAsia="宋体"/>
          <w:b w:val="0"/>
          <w:sz w:val="24"/>
        </w:rPr>
        <w:t>3.3 功能性需求分析</w:t>
      </w:r>
    </w:p>
    <w:p w14:paraId="297DE55D">
      <w:pPr>
        <w:spacing w:after="0" w:line="276" w:lineRule="auto"/>
        <w:ind w:left="907"/>
      </w:pPr>
      <w:r>
        <w:rPr>
          <w:rFonts w:ascii="宋体" w:hAnsi="宋体" w:eastAsia="宋体"/>
          <w:b w:val="0"/>
          <w:sz w:val="24"/>
        </w:rPr>
        <w:t>3.3.1 订单管理后台需求</w:t>
      </w:r>
    </w:p>
    <w:p w14:paraId="79324920">
      <w:pPr>
        <w:spacing w:after="0" w:line="276" w:lineRule="auto"/>
        <w:ind w:left="907"/>
      </w:pPr>
      <w:r>
        <w:rPr>
          <w:rFonts w:ascii="宋体" w:hAnsi="宋体" w:eastAsia="宋体"/>
          <w:b w:val="0"/>
          <w:sz w:val="24"/>
        </w:rPr>
        <w:t>3.3.2 低代码配置平台需求</w:t>
      </w:r>
    </w:p>
    <w:p w14:paraId="34BFA9CD">
      <w:pPr>
        <w:spacing w:after="0" w:line="276" w:lineRule="auto"/>
        <w:ind w:left="907"/>
      </w:pPr>
      <w:r>
        <w:rPr>
          <w:rFonts w:ascii="宋体" w:hAnsi="宋体" w:eastAsia="宋体"/>
          <w:b w:val="0"/>
          <w:sz w:val="24"/>
        </w:rPr>
        <w:t>3.3.3 可视化规则编排引擎需求</w:t>
      </w:r>
    </w:p>
    <w:p w14:paraId="7EE05977">
      <w:pPr>
        <w:spacing w:after="0" w:line="276" w:lineRule="auto"/>
        <w:ind w:left="454"/>
      </w:pPr>
      <w:r>
        <w:rPr>
          <w:rFonts w:ascii="宋体" w:hAnsi="宋体" w:eastAsia="宋体"/>
          <w:b w:val="0"/>
          <w:sz w:val="24"/>
        </w:rPr>
        <w:t>3.4 数据需求分析</w:t>
      </w:r>
    </w:p>
    <w:p w14:paraId="6CAFDD91">
      <w:pPr>
        <w:spacing w:after="0" w:line="276" w:lineRule="auto"/>
        <w:ind w:left="454"/>
      </w:pPr>
      <w:r>
        <w:rPr>
          <w:rFonts w:ascii="宋体" w:hAnsi="宋体" w:eastAsia="宋体"/>
          <w:b w:val="0"/>
          <w:sz w:val="24"/>
        </w:rPr>
        <w:t>3.5 非功能性需求分析</w:t>
      </w:r>
    </w:p>
    <w:p w14:paraId="43573E41">
      <w:pPr>
        <w:spacing w:after="0" w:line="276" w:lineRule="auto"/>
        <w:ind w:left="454"/>
      </w:pPr>
      <w:r>
        <w:rPr>
          <w:rFonts w:ascii="宋体" w:hAnsi="宋体" w:eastAsia="宋体"/>
          <w:b w:val="0"/>
          <w:sz w:val="24"/>
        </w:rPr>
        <w:t>3.6 可行性分析</w:t>
      </w:r>
    </w:p>
    <w:p w14:paraId="1E4D5B92">
      <w:pPr>
        <w:spacing w:after="0" w:line="276" w:lineRule="auto"/>
        <w:ind w:left="0"/>
      </w:pPr>
      <w:r>
        <w:rPr>
          <w:rFonts w:ascii="宋体" w:hAnsi="宋体" w:eastAsia="宋体"/>
          <w:b w:val="0"/>
          <w:sz w:val="24"/>
        </w:rPr>
        <w:t>第4章 系统总体设计</w:t>
      </w:r>
    </w:p>
    <w:p w14:paraId="488695E7">
      <w:pPr>
        <w:spacing w:after="0" w:line="276" w:lineRule="auto"/>
        <w:ind w:left="454"/>
      </w:pPr>
      <w:r>
        <w:rPr>
          <w:rFonts w:ascii="宋体" w:hAnsi="宋体" w:eastAsia="宋体"/>
          <w:b w:val="0"/>
          <w:sz w:val="24"/>
        </w:rPr>
        <w:t>4.1 系统设计原则与目标</w:t>
      </w:r>
    </w:p>
    <w:p w14:paraId="27B508DA">
      <w:pPr>
        <w:spacing w:after="0" w:line="276" w:lineRule="auto"/>
        <w:ind w:left="454"/>
      </w:pPr>
      <w:r>
        <w:rPr>
          <w:rFonts w:ascii="宋体" w:hAnsi="宋体" w:eastAsia="宋体"/>
          <w:b w:val="0"/>
          <w:sz w:val="24"/>
        </w:rPr>
        <w:t>4.2 系统架构设计</w:t>
      </w:r>
    </w:p>
    <w:p w14:paraId="3F765B3D">
      <w:pPr>
        <w:spacing w:after="0" w:line="276" w:lineRule="auto"/>
        <w:ind w:left="907"/>
      </w:pPr>
      <w:r>
        <w:rPr>
          <w:rFonts w:ascii="宋体" w:hAnsi="宋体" w:eastAsia="宋体"/>
          <w:b w:val="0"/>
          <w:sz w:val="24"/>
        </w:rPr>
        <w:t>4.2.1 技术架构设计</w:t>
      </w:r>
    </w:p>
    <w:p w14:paraId="6BF04B5F">
      <w:pPr>
        <w:spacing w:after="0" w:line="276" w:lineRule="auto"/>
        <w:ind w:left="907"/>
      </w:pPr>
      <w:r>
        <w:rPr>
          <w:rFonts w:ascii="宋体" w:hAnsi="宋体" w:eastAsia="宋体"/>
          <w:b w:val="0"/>
          <w:sz w:val="24"/>
        </w:rPr>
        <w:t>4.2.2 分层架构设计</w:t>
      </w:r>
    </w:p>
    <w:p w14:paraId="38BAD2C8">
      <w:pPr>
        <w:spacing w:after="0" w:line="276" w:lineRule="auto"/>
        <w:ind w:left="907"/>
      </w:pPr>
      <w:r>
        <w:rPr>
          <w:rFonts w:ascii="宋体" w:hAnsi="宋体" w:eastAsia="宋体"/>
          <w:b w:val="0"/>
          <w:sz w:val="24"/>
        </w:rPr>
        <w:t>4.2.3 功能架构设计</w:t>
      </w:r>
    </w:p>
    <w:p w14:paraId="3B9C9B30">
      <w:pPr>
        <w:spacing w:after="0" w:line="276" w:lineRule="auto"/>
        <w:ind w:left="454"/>
      </w:pPr>
      <w:r>
        <w:rPr>
          <w:rFonts w:ascii="宋体" w:hAnsi="宋体" w:eastAsia="宋体"/>
          <w:b w:val="0"/>
          <w:sz w:val="24"/>
        </w:rPr>
        <w:t>4.3 系统功能模块设计</w:t>
      </w:r>
    </w:p>
    <w:p w14:paraId="1D53C975">
      <w:pPr>
        <w:spacing w:after="0" w:line="276" w:lineRule="auto"/>
        <w:ind w:left="907"/>
      </w:pPr>
      <w:r>
        <w:rPr>
          <w:rFonts w:ascii="宋体" w:hAnsi="宋体" w:eastAsia="宋体"/>
          <w:b w:val="0"/>
          <w:sz w:val="24"/>
        </w:rPr>
        <w:t>4.3.1 用户与权限模块设计</w:t>
      </w:r>
    </w:p>
    <w:p w14:paraId="713B0AED">
      <w:pPr>
        <w:spacing w:after="0" w:line="276" w:lineRule="auto"/>
        <w:ind w:left="907"/>
      </w:pPr>
      <w:r>
        <w:rPr>
          <w:rFonts w:ascii="宋体" w:hAnsi="宋体" w:eastAsia="宋体"/>
          <w:b w:val="0"/>
          <w:sz w:val="24"/>
        </w:rPr>
        <w:t>4.3.2 订单管理模块设计</w:t>
      </w:r>
    </w:p>
    <w:p w14:paraId="781FE315">
      <w:pPr>
        <w:spacing w:after="0" w:line="276" w:lineRule="auto"/>
        <w:ind w:left="907"/>
      </w:pPr>
      <w:r>
        <w:rPr>
          <w:rFonts w:ascii="宋体" w:hAnsi="宋体" w:eastAsia="宋体"/>
          <w:b w:val="0"/>
          <w:sz w:val="24"/>
        </w:rPr>
        <w:t>4.3.3 低代码配置模块设计</w:t>
      </w:r>
    </w:p>
    <w:p w14:paraId="46DDDF81">
      <w:pPr>
        <w:spacing w:after="0" w:line="276" w:lineRule="auto"/>
        <w:ind w:left="907"/>
      </w:pPr>
      <w:r>
        <w:rPr>
          <w:rFonts w:ascii="宋体" w:hAnsi="宋体" w:eastAsia="宋体"/>
          <w:b w:val="0"/>
          <w:sz w:val="24"/>
        </w:rPr>
        <w:t>4.3.4 规则编排模块设计</w:t>
      </w:r>
    </w:p>
    <w:p w14:paraId="6963512B">
      <w:pPr>
        <w:spacing w:after="0" w:line="276" w:lineRule="auto"/>
        <w:ind w:left="907"/>
      </w:pPr>
      <w:r>
        <w:rPr>
          <w:rFonts w:ascii="宋体" w:hAnsi="宋体" w:eastAsia="宋体"/>
          <w:b w:val="0"/>
          <w:sz w:val="24"/>
        </w:rPr>
        <w:t>4.3.5 日志与审计模块设计</w:t>
      </w:r>
    </w:p>
    <w:p w14:paraId="0109A39D">
      <w:pPr>
        <w:spacing w:after="0" w:line="276" w:lineRule="auto"/>
        <w:ind w:left="454"/>
      </w:pPr>
      <w:r>
        <w:rPr>
          <w:rFonts w:ascii="宋体" w:hAnsi="宋体" w:eastAsia="宋体"/>
          <w:b w:val="0"/>
          <w:sz w:val="24"/>
        </w:rPr>
        <w:t>4.4 数据库设计</w:t>
      </w:r>
    </w:p>
    <w:p w14:paraId="27A86FC6">
      <w:pPr>
        <w:spacing w:after="0" w:line="276" w:lineRule="auto"/>
        <w:ind w:left="907"/>
      </w:pPr>
      <w:r>
        <w:rPr>
          <w:rFonts w:ascii="宋体" w:hAnsi="宋体" w:eastAsia="宋体"/>
          <w:b w:val="0"/>
          <w:sz w:val="24"/>
        </w:rPr>
        <w:t>4.4.1 概念结构设计</w:t>
      </w:r>
    </w:p>
    <w:p w14:paraId="30CD1C87">
      <w:pPr>
        <w:spacing w:after="0" w:line="276" w:lineRule="auto"/>
        <w:ind w:left="907"/>
      </w:pPr>
      <w:r>
        <w:rPr>
          <w:rFonts w:ascii="宋体" w:hAnsi="宋体" w:eastAsia="宋体"/>
          <w:b w:val="0"/>
          <w:sz w:val="24"/>
        </w:rPr>
        <w:t>4.4.2 主要数据表设计</w:t>
      </w:r>
    </w:p>
    <w:p w14:paraId="5476AD22">
      <w:pPr>
        <w:spacing w:after="0" w:line="276" w:lineRule="auto"/>
        <w:ind w:left="454"/>
      </w:pPr>
      <w:r>
        <w:rPr>
          <w:rFonts w:ascii="宋体" w:hAnsi="宋体" w:eastAsia="宋体"/>
          <w:b w:val="0"/>
          <w:sz w:val="24"/>
        </w:rPr>
        <w:t>4.5 接口与部署设计</w:t>
      </w:r>
    </w:p>
    <w:p w14:paraId="062EA7B5">
      <w:pPr>
        <w:spacing w:after="0" w:line="276" w:lineRule="auto"/>
        <w:ind w:left="907"/>
      </w:pPr>
      <w:r>
        <w:rPr>
          <w:rFonts w:ascii="宋体" w:hAnsi="宋体" w:eastAsia="宋体"/>
          <w:b w:val="0"/>
          <w:sz w:val="24"/>
        </w:rPr>
        <w:t>4.5.1 接口模块划分</w:t>
      </w:r>
    </w:p>
    <w:p w14:paraId="0809502E">
      <w:pPr>
        <w:spacing w:after="0" w:line="276" w:lineRule="auto"/>
        <w:ind w:left="907"/>
      </w:pPr>
      <w:r>
        <w:rPr>
          <w:rFonts w:ascii="宋体" w:hAnsi="宋体" w:eastAsia="宋体"/>
          <w:b w:val="0"/>
          <w:sz w:val="24"/>
        </w:rPr>
        <w:t>4.5.2 部署方案设计</w:t>
      </w:r>
    </w:p>
    <w:p w14:paraId="65479507">
      <w:pPr>
        <w:spacing w:after="0" w:line="276" w:lineRule="auto"/>
        <w:ind w:left="0"/>
      </w:pPr>
      <w:r>
        <w:rPr>
          <w:rFonts w:ascii="宋体" w:hAnsi="宋体" w:eastAsia="宋体"/>
          <w:b w:val="0"/>
          <w:sz w:val="24"/>
        </w:rPr>
        <w:t>第5章 系统详细设计与实现</w:t>
      </w:r>
    </w:p>
    <w:p w14:paraId="404368FD">
      <w:pPr>
        <w:spacing w:after="0" w:line="276" w:lineRule="auto"/>
        <w:ind w:left="454"/>
      </w:pPr>
      <w:r>
        <w:rPr>
          <w:rFonts w:ascii="宋体" w:hAnsi="宋体" w:eastAsia="宋体"/>
          <w:b w:val="0"/>
          <w:sz w:val="24"/>
        </w:rPr>
        <w:t>5.1 开发环境的搭建</w:t>
      </w:r>
    </w:p>
    <w:p>
      <w:pPr>
        <w:spacing w:lineRule="exact" w:line="440" w:before="0" w:after="0"/>
        <w:ind w:firstLine="480" w:left="0"/>
        <w:jc w:val="both"/>
      </w:pPr>
      <w:r>
        <w:rPr>
          <w:rFonts w:ascii="Times New Roman" w:hAnsi="Times New Roman" w:eastAsia="宋体"/>
          <w:sz w:val="24"/>
        </w:rPr>
        <w:t>本系统采用 Next.js App Router 作为统一的页面与接口承载框架，前端使用 TypeScript、Ant Design 风格组件与 React Flow 画布实现中后台页面和规则设计器，后端通过 PostgreSQL 与 Prisma 完成业务数据、元数据和日志数据的统一持久化。与传统前后端分离的双工程模式相比，当前仓库采用单仓全栈结构，把页面组件、Route Handlers、服务层和 Prisma 模型集中在同一代码库中，这种组织方式更适合毕业设计阶段对“快速实现、快速联调、快速验证”的要求。</w:t>
      </w:r>
    </w:p>
    <w:p>
      <w:pPr>
        <w:spacing w:lineRule="exact" w:line="440" w:before="0" w:after="0"/>
        <w:ind w:firstLine="480" w:left="0"/>
        <w:jc w:val="both"/>
      </w:pPr>
      <w:r>
        <w:rPr>
          <w:rFonts w:ascii="Times New Roman" w:hAnsi="Times New Roman" w:eastAsia="宋体"/>
          <w:sz w:val="24"/>
        </w:rPr>
        <w:t>从数据模型来看，系统已经在 Prisma schema 中定义了 User、Role、Permission、Order、Shipment、EntityMeta、FieldMeta、PageMeta、RuleDefinition、RuleVersion、RuleExecLog、AuditLog、MetaConfigSnapshot 等核心模型。用户、角色与权限模型支撑登录和鉴权；订单、发货和操作日志模型支撑业务处理闭环；实体、字段、页面和快照模型支撑低代码治理；规则定义、规则版本和执行日志模型支撑规则编排与运行追踪。这种统一建模方式保证了第 5 章各模块并不是彼此孤立实现，而是建立在同一数据库与同一服务边界之上的完整系统。</w:t>
      </w:r>
    </w:p>
    <w:p>
      <w:pPr>
        <w:spacing w:lineRule="exact" w:line="440" w:before="0" w:after="0"/>
        <w:ind w:firstLine="480" w:left="0"/>
        <w:jc w:val="both"/>
      </w:pPr>
      <w:r>
        <w:rPr>
          <w:rFonts w:ascii="Times New Roman" w:hAnsi="Times New Roman" w:eastAsia="宋体"/>
          <w:sz w:val="24"/>
        </w:rPr>
        <w:t>开发环境方面，项目通过 .env.example 提供数据库和数据源配置模板，本地启动时复制为 .env 与 .env.local 即可。系统支持 DATABASE_URL 指向真实 PostgreSQL，也保留 ORDER_DATA_SOURCE 在 memory 和 prisma 间切换的能力，便于开发阶段进行演示与回退。根据当前仓库 README 的启动方式，开发者在安装依赖后执行 pnpm db:generate、pnpm db:push、pnpm db:seed 可以初始化数据库结构与演示数据，再通过 pnpm dev 启动应用，并借助 /api/health 完成基础连通性检查。</w:t>
      </w:r>
    </w:p>
    <w:p>
      <w:pPr>
        <w:spacing w:lineRule="exact" w:line="440" w:before="0" w:after="0"/>
        <w:ind w:firstLine="480" w:left="0"/>
        <w:jc w:val="both"/>
      </w:pPr>
      <w:r>
        <w:rPr>
          <w:rFonts w:ascii="Times New Roman" w:hAnsi="Times New Roman" w:eastAsia="宋体"/>
          <w:sz w:val="24"/>
        </w:rPr>
        <w:t>在本次重写第 5 章时，我又基于当前代码实际执行了 pnpm build、pnpm typecheck 和 pnpm lint 三项基础校验，均已通过。这说明当前仓库不仅具备论文层面的实现展示价值，也具备基本的工程可构建性和静态检查可用性，为后续功能扩展和论文验收提供了较稳定的运行基础。</w:t>
      </w:r>
    </w:p>
    <w:p w14:paraId="2A56CAB0">
      <w:pPr>
        <w:spacing w:after="0" w:line="276" w:lineRule="auto"/>
        <w:ind w:left="454"/>
      </w:pPr>
      <w:r>
        <w:rPr>
          <w:rFonts w:ascii="宋体" w:hAnsi="宋体" w:eastAsia="宋体"/>
          <w:b w:val="0"/>
          <w:sz w:val="24"/>
        </w:rPr>
        <w:t>5.2 核心功能模块实现</w:t>
      </w:r>
    </w:p>
    <w:p>
      <w:pPr>
        <w:spacing w:lineRule="exact" w:line="440" w:before="0" w:after="0"/>
        <w:ind w:firstLine="480" w:left="0"/>
        <w:jc w:val="both"/>
      </w:pPr>
      <w:r>
        <w:rPr>
          <w:rFonts w:ascii="Times New Roman" w:hAnsi="Times New Roman" w:eastAsia="宋体"/>
          <w:sz w:val="24"/>
        </w:rPr>
        <w:t>结合现有代码实现，系统的核心模块已经稳定收敛为五个部分：用户与权限模块负责登录、会话刷新与页面鉴权；订单管理模块负责订单查询、详情展示、状态流转与批量动作；低代码配置模块负责实体、字段、页面配置以及发布治理；规则编排模块负责规则定义、版本维护、节点语义配置和试运行；日志与审计模块负责对登录、用户治理、订单动作和规则执行进行追踪与查询。</w:t>
      </w:r>
    </w:p>
    <w:p>
      <w:pPr>
        <w:spacing w:lineRule="exact" w:line="440" w:before="0" w:after="0"/>
        <w:ind w:firstLine="480" w:left="0"/>
        <w:jc w:val="both"/>
      </w:pPr>
      <w:r>
        <w:rPr>
          <w:rFonts w:ascii="Times New Roman" w:hAnsi="Times New Roman" w:eastAsia="宋体"/>
          <w:sz w:val="24"/>
        </w:rPr>
        <w:t>这些模块在实现上并不是简单的前端页面拼接，而是统一经过“页面层 + Route Handler + 服务层 + Prisma 持久层”的分层结构组织。页面层负责服务器组件渲染和表单入口，Route Handler 负责表单数据接收、会话检查和页面刷新，服务层负责业务规则校验与事务控制，Prisma 则负责读写订单、规则、元数据和日志表。这种实现方式使系统既能保持论文所需的清晰结构，也能在代码层面体现真实的中后台业务处理逻辑。</w:t>
      </w:r>
    </w:p>
    <w:p>
      <w:pPr>
        <w:spacing w:lineRule="exact" w:line="440" w:before="0" w:after="0"/>
        <w:ind w:firstLine="480" w:left="0"/>
        <w:jc w:val="both"/>
      </w:pPr>
      <w:r>
        <w:rPr>
          <w:rFonts w:ascii="Times New Roman" w:hAnsi="Times New Roman" w:eastAsia="宋体"/>
          <w:sz w:val="24"/>
        </w:rPr>
        <w:t>由于第五章是论文的核心部分，以下内容不再按“计划实现”来写，而是严格依据当前仓库中已经存在的页面、接口和服务函数展开说明。对于运行时动态渲染、复杂表达式库、导入导出等尚未完全完工的能力，正文也会明确指出当前完成边界，避免论文描述与代码状态不一致。</w:t>
      </w:r>
    </w:p>
    <w:p w14:paraId="1D6D6414">
      <w:pPr>
        <w:spacing w:after="0" w:line="276" w:lineRule="auto"/>
        <w:ind w:left="907"/>
      </w:pPr>
      <w:r>
        <w:rPr>
          <w:rFonts w:ascii="宋体" w:hAnsi="宋体" w:eastAsia="宋体"/>
          <w:b w:val="0"/>
          <w:sz w:val="24"/>
        </w:rPr>
        <w:t>5.2.1 用户与权限模块实现</w:t>
      </w:r>
    </w:p>
    <w:p>
      <w:pPr>
        <w:spacing w:lineRule="exact" w:line="440" w:before="0" w:after="0"/>
        <w:ind w:firstLine="480" w:left="0"/>
        <w:jc w:val="both"/>
      </w:pPr>
      <w:r>
        <w:rPr>
          <w:rFonts w:ascii="Times New Roman" w:hAnsi="Times New Roman" w:eastAsia="宋体"/>
          <w:sz w:val="24"/>
        </w:rPr>
        <w:t>用户与权限模块采用数据库账号、角色和权限三层模型实现真实登录，而不是固定演示账号硬编码。用户在登录页提交邮箱和密码后，认证服务会查询 user 表及其关联的 role、permission 关系，校验密码摘要与用户状态，再根据角色优先级解析出当前会话的主角色与权限集合。这样生成的会话对象不仅包含用户基本信息，还包含角色编码、角色名称和权限编码列表，为后续页面守卫、按钮控制和接口校验提供统一依据。</w:t>
      </w:r>
    </w:p>
    <w:p>
      <w:pPr>
        <w:spacing w:lineRule="exact" w:line="440" w:before="0" w:after="0"/>
        <w:ind w:firstLine="480" w:left="0"/>
        <w:jc w:val="both"/>
      </w:pPr>
      <w:r>
        <w:rPr>
          <w:rFonts w:ascii="Times New Roman" w:hAnsi="Times New Roman" w:eastAsia="宋体"/>
          <w:sz w:val="24"/>
        </w:rPr>
        <w:t>与一次登录后长期信任前端缓存不同，当前系统在每次服务端读取会话时，都会先从 Cookie 中解析最小化会话，再按 userId 重新组装最新权限。这意味着当管理员修改用户角色或权限后，服务端页面和接口会在下一次请求时自动感知最新授权状态，从而避免出现前端状态滞后导致的权限越权问题。与此同时，middleware 负责未登录访问的统一拦截，页面级 requireAuth 与 requirePermission 则负责进一步的登录校验和细粒度权限判断。</w:t>
      </w:r>
    </w:p>
    <w:p>
      <w:pPr>
        <w:spacing w:lineRule="exact" w:line="440" w:before="0" w:after="0"/>
        <w:ind w:firstLine="480" w:left="0"/>
        <w:jc w:val="both"/>
      </w:pPr>
      <w:r>
        <w:rPr>
          <w:rFonts w:ascii="Times New Roman" w:hAnsi="Times New Roman" w:eastAsia="宋体"/>
          <w:sz w:val="24"/>
        </w:rPr>
        <w:t>会话装配与权限守卫的核心实现如下：</w:t>
      </w:r>
    </w:p>
    <w:p>
      <w:pPr>
        <w:spacing w:lineRule="exact" w:line="360" w:before="80" w:after="80"/>
        <w:ind w:firstLine="0" w:left="360"/>
        <w:jc w:val="left"/>
      </w:pPr>
      <w:r>
        <w:rPr>
          <w:rFonts w:ascii="Courier New" w:hAnsi="Courier New" w:eastAsia="Courier New"/>
          <w:sz w:val="21"/>
        </w:rPr>
        <w:t>import { cookies } from "next/headers";</w:t>
        <w:br/>
        <w:t>import { parseAuthSession } from "@/lib/auth/cookie";</w:t>
        <w:br/>
        <w:t>import { getAuthSessionByUserId } from "@/server/services/auth-service";</w:t>
        <w:br/>
        <w:br/>
        <w:t>export async function getAuthSession() {</w:t>
        <w:br/>
        <w:t xml:space="preserve">  const cookieStore = await cookies();</w:t>
        <w:br/>
        <w:t xml:space="preserve">  const session = parseAuthSession(cookieStore.get(AUTH_COOKIE_NAME)?.value);</w:t>
        <w:br/>
        <w:br/>
        <w:t xml:space="preserve">  if (!session) {</w:t>
        <w:br/>
        <w:t xml:space="preserve">    return null;</w:t>
        <w:br/>
        <w:t xml:space="preserve">  }</w:t>
        <w:br/>
        <w:br/>
        <w:t xml:space="preserve">  return getAuthSessionByUserId(session.userId);</w:t>
        <w:br/>
        <w:t>}</w:t>
        <w:br/>
        <w:br/>
        <w:t>export async function requirePermission(permission: PermissionCode, pathname?: string) {</w:t>
        <w:br/>
        <w:t xml:space="preserve">  const session = await requireAuth(pathname);</w:t>
        <w:br/>
        <w:br/>
        <w:t xml:space="preserve">  if (!hasPermission(session, permission)) {</w:t>
        <w:br/>
        <w:t xml:space="preserve">    redirect(`/forbidden?required=${encodeURIComponent(permission)}`);</w:t>
        <w:br/>
        <w:t xml:space="preserve">  }</w:t>
        <w:br/>
        <w:br/>
        <w:t xml:space="preserve">  return session;</w:t>
        <w:br/>
        <w:t>}</w:t>
      </w:r>
    </w:p>
    <w:p>
      <w:pPr>
        <w:spacing w:lineRule="exact" w:line="440" w:before="0" w:after="0"/>
        <w:ind w:firstLine="480" w:left="0"/>
        <w:jc w:val="both"/>
      </w:pPr>
      <w:r>
        <w:rPr>
          <w:rFonts w:ascii="Times New Roman" w:hAnsi="Times New Roman" w:eastAsia="宋体"/>
          <w:sz w:val="24"/>
        </w:rPr>
        <w:t>从上述代码可以看到，系统并没有把权限判断散落在各个页面内，而是通过 getAuthSession 与 requirePermission 形成统一入口。页面组件只需声明所需权限，例如 orders:view、users:view、meta:view、rules:view，即可把会话解析、无权限跳转和登录回跳逻辑收敛在同一套守卫机制中。</w:t>
      </w:r>
    </w:p>
    <w:p>
      <w:pPr>
        <w:spacing w:lineRule="exact" w:line="440" w:before="0" w:after="0"/>
        <w:ind w:firstLine="480" w:left="0"/>
        <w:jc w:val="both"/>
      </w:pPr>
      <w:r>
        <w:rPr>
          <w:rFonts w:ascii="Times New Roman" w:hAnsi="Times New Roman" w:eastAsia="宋体"/>
          <w:sz w:val="24"/>
        </w:rPr>
        <w:t>在管理功能方面，用户管理页已经实现账号状态启停、角色调整、密码重置和角色权限矩阵编辑。对应服务 performUserManagementAction 与 updateRolePermissions 会对当前操作者权限进行校验，并对“不能禁用当前登录账号”“不能修改当前登录角色的权限”“密码长度至少 8 位”等约束进行检查，再将变更写入 audit_log 表。由此可见，用户与权限模块已经形成从登录、鉴权、会话刷新到后台治理的完整实现链路。</w:t>
      </w:r>
    </w:p>
    <w:p w14:paraId="5D8E631C">
      <w:pPr>
        <w:spacing w:after="0" w:line="276" w:lineRule="auto"/>
        <w:ind w:left="907"/>
      </w:pPr>
      <w:r>
        <w:rPr>
          <w:rFonts w:ascii="宋体" w:hAnsi="宋体" w:eastAsia="宋体"/>
          <w:b w:val="0"/>
          <w:sz w:val="24"/>
        </w:rPr>
        <w:t>5.2.2 订单管理模块实现</w:t>
      </w:r>
    </w:p>
    <w:p>
      <w:pPr>
        <w:spacing w:lineRule="exact" w:line="440" w:before="0" w:after="0"/>
        <w:ind w:firstLine="480" w:left="0"/>
        <w:jc w:val="both"/>
      </w:pPr>
      <w:r>
        <w:rPr>
          <w:rFonts w:ascii="Times New Roman" w:hAnsi="Times New Roman" w:eastAsia="宋体"/>
          <w:sz w:val="24"/>
        </w:rPr>
        <w:t>订单管理模块是当前系统中实现最完整、业务含义最直接的模块。订单列表页通过服务器组件在服务端调用 getOrderList，支持关键字、订单状态、来源渠道、仓库、异常标记等条件筛选，并生成审核队列、待发货、异常订单等统计卡片。列表区同时提供批量动作面板，能够针对当前登录角色动态显示“批量审核通过、批量锁单、批量解锁、批量发货”等动作选项。</w:t>
      </w:r>
    </w:p>
    <w:p>
      <w:pPr>
        <w:spacing w:lineRule="exact" w:line="440" w:before="0" w:after="0"/>
        <w:ind w:firstLine="480" w:left="0"/>
        <w:jc w:val="both"/>
      </w:pPr>
      <w:r>
        <w:rPr>
          <w:rFonts w:ascii="Times New Roman" w:hAnsi="Times New Roman" w:eastAsia="宋体"/>
          <w:sz w:val="24"/>
        </w:rPr>
        <w:t>订单详情页则承担了单笔订单的集中处理工作台角色。页面不仅展示客户与收货信息、金额摘要、仓配信息、系统备注、客服备注、商品明细、规则命中记录和处理日志，还直接提供审核通过、审核驳回、手工分仓、执行发货、标记异常、解除异常、锁单、解锁等表单入口。每个动作最终都会提交到 /api/orders/[id]/actions，由该路由统一获取当前会话、解析表单数据、调用订单服务并在成功后触发订单页与规则日志页刷新。</w:t>
      </w:r>
    </w:p>
    <w:p>
      <w:pPr>
        <w:spacing w:lineRule="exact" w:line="440" w:before="0" w:after="0"/>
        <w:ind w:firstLine="480" w:left="0"/>
        <w:jc w:val="both"/>
      </w:pPr>
      <w:r>
        <w:rPr>
          <w:rFonts w:ascii="Times New Roman" w:hAnsi="Times New Roman" w:eastAsia="宋体"/>
          <w:sz w:val="24"/>
        </w:rPr>
        <w:t>在服务层内部，订单动作首先由 applyOrderActionToRecord 进行人工动作约束校验，例如锁单、解锁、驳回、异常标记必须填写原因，发货必须填写物流公司和物流单号，不同动作必须满足当前状态与权限条件。只有当这些约束通过后，系统才会进入事务阶段执行业务状态流转和后续规则链路，从而把人工处理与自动规则处理统一到同一条事务路径中。</w:t>
      </w:r>
    </w:p>
    <w:p>
      <w:pPr>
        <w:spacing w:lineRule="exact" w:line="440" w:before="0" w:after="0"/>
        <w:ind w:firstLine="480" w:left="0"/>
        <w:jc w:val="both"/>
      </w:pPr>
      <w:r>
        <w:rPr>
          <w:rFonts w:ascii="Times New Roman" w:hAnsi="Times New Roman" w:eastAsia="宋体"/>
          <w:sz w:val="24"/>
        </w:rPr>
        <w:t>订单动作事务主链路的核心实现如下：</w:t>
      </w:r>
    </w:p>
    <w:p>
      <w:pPr>
        <w:spacing w:lineRule="exact" w:line="360" w:before="80" w:after="80"/>
        <w:ind w:firstLine="0" w:left="360"/>
        <w:jc w:val="left"/>
      </w:pPr>
      <w:r>
        <w:rPr>
          <w:rFonts w:ascii="Courier New" w:hAnsi="Courier New" w:eastAsia="Courier New"/>
          <w:sz w:val="21"/>
        </w:rPr>
        <w:t>async function performOrderActionFromPrisma(input: PerformOrderActionInput) {</w:t>
        <w:br/>
        <w:t xml:space="preserve">  const currentRecord = await getOrderDetailFromPrisma(input.orderId);</w:t>
        <w:br/>
        <w:t xml:space="preserve">  let blockedByRules = false;</w:t>
        <w:br/>
        <w:t xml:space="preserve">  const ruleExecutionResults = [];</w:t>
        <w:br/>
        <w:br/>
        <w:t xml:space="preserve">  await prisma.$transaction(async (tx) =&gt; {</w:t>
        <w:br/>
        <w:t xml:space="preserve">    let workingRecord = cloneOrder(currentRecord);</w:t>
        <w:br/>
        <w:br/>
        <w:t xml:space="preserve">    if (input.action === "ship-order") {</w:t>
        <w:br/>
        <w:t xml:space="preserve">      const preShipmentRules = await executeOrderRulesForScene({</w:t>
        <w:br/>
        <w:t xml:space="preserve">        tx,</w:t>
        <w:br/>
        <w:t xml:space="preserve">        order: workingRecord,</w:t>
        <w:br/>
        <w:t xml:space="preserve">        scene: "发货前校验",</w:t>
        <w:br/>
        <w:t xml:space="preserve">        payload: input.payload,</w:t>
        <w:br/>
        <w:t xml:space="preserve">        requestedAction: input.action</w:t>
        <w:br/>
        <w:t xml:space="preserve">      });</w:t>
        <w:br/>
        <w:t xml:space="preserve">      workingRecord = preShipmentRules.nextRecord;</w:t>
        <w:br/>
        <w:t xml:space="preserve">      blockedByRules = preShipmentRules.blockedRequestedAction;</w:t>
        <w:br/>
        <w:t xml:space="preserve">    }</w:t>
        <w:br/>
        <w:br/>
        <w:t xml:space="preserve">    if (!blockedByRules) {</w:t>
        <w:br/>
        <w:t xml:space="preserve">      const applyResult = applyOrderActionToRecord(</w:t>
        <w:br/>
        <w:t xml:space="preserve">        workingRecord,</w:t>
        <w:br/>
        <w:t xml:space="preserve">        input.action,</w:t>
        <w:br/>
        <w:t xml:space="preserve">        input.session,</w:t>
        <w:br/>
        <w:t xml:space="preserve">        input.payload</w:t>
        <w:br/>
        <w:t xml:space="preserve">      );</w:t>
        <w:br/>
        <w:t xml:space="preserve">      workingRecord = applyResult.nextRecord;</w:t>
        <w:br/>
        <w:t xml:space="preserve">    }</w:t>
        <w:br/>
        <w:br/>
        <w:t xml:space="preserve">    if (!blockedByRules &amp;&amp; input.action === "approve-review") {</w:t>
        <w:br/>
        <w:t xml:space="preserve">      const postApproveRules = await executeOrderRulesForScene({</w:t>
        <w:br/>
        <w:t xml:space="preserve">        tx,</w:t>
        <w:br/>
        <w:t xml:space="preserve">        order: workingRecord,</w:t>
        <w:br/>
        <w:t xml:space="preserve">        scene: "审核通过后",</w:t>
        <w:br/>
        <w:t xml:space="preserve">        payload: input.payload,</w:t>
        <w:br/>
        <w:t xml:space="preserve">        requestedAction: input.action</w:t>
        <w:br/>
        <w:t xml:space="preserve">      });</w:t>
        <w:br/>
        <w:t xml:space="preserve">      workingRecord = postApproveRules.nextRecord;</w:t>
        <w:br/>
        <w:t xml:space="preserve">    }</w:t>
        <w:br/>
        <w:t xml:space="preserve">  });</w:t>
        <w:br/>
        <w:t>}</w:t>
      </w:r>
    </w:p>
    <w:p>
      <w:pPr>
        <w:spacing w:lineRule="exact" w:line="440" w:before="0" w:after="0"/>
        <w:ind w:firstLine="480" w:left="0"/>
        <w:jc w:val="both"/>
      </w:pPr>
      <w:r>
        <w:rPr>
          <w:rFonts w:ascii="Times New Roman" w:hAnsi="Times New Roman" w:eastAsia="宋体"/>
          <w:sz w:val="24"/>
        </w:rPr>
        <w:t>该代码体现了当前订单模块的关键特征：订单动作不再是单纯的状态切换，而是“前置规则校验、人工动作应用、后置规则联动”三段式事务流程。以发货为例，系统会先执行“发货前校验”场景规则；若规则未阻断，再执行人工发货动作；而审核通过后则会进一步触发“审核通过后”场景的规则，以便自动分仓或追加系统备注。</w:t>
      </w:r>
    </w:p>
    <w:p>
      <w:pPr>
        <w:spacing w:lineRule="exact" w:line="440" w:before="0" w:after="0"/>
        <w:ind w:firstLine="480" w:left="0"/>
        <w:jc w:val="both"/>
      </w:pPr>
      <w:r>
        <w:rPr>
          <w:rFonts w:ascii="Times New Roman" w:hAnsi="Times New Roman" w:eastAsia="宋体"/>
          <w:sz w:val="24"/>
        </w:rPr>
        <w:t>事务完成后，服务层还会把结果同步写入 order、shipment、order_operation_log、audit_log 和 rule_exec_log 等多张表。若本次动作存在规则命中，系统会把命中结果写入订单扩展字段中的 ruleHits，同时把规则动作生成的系统日志和审计日志一并保存。这样，订单管理模块已经不只是实现页面级增删改查，而是形成了具有事务一致性、可追踪性和规则联动能力的核心业务模块。</w:t>
      </w:r>
    </w:p>
    <w:p>
      <w:pPr>
        <w:spacing w:lineRule="exact" w:line="440" w:before="0" w:after="0"/>
        <w:ind w:firstLine="480" w:left="0"/>
        <w:jc w:val="both"/>
      </w:pPr>
      <w:r>
        <w:rPr>
          <w:rFonts w:ascii="Times New Roman" w:hAnsi="Times New Roman" w:eastAsia="宋体"/>
          <w:sz w:val="24"/>
        </w:rPr>
        <w:t>此外，订单模块还保留了 memory 与 prisma 两种数据源模式，便于开发阶段回退演示；批量动作服务 performBulkOrderAction 则通过逐单调用 performOrderAction 聚合成功数、失败数和前几条失败原因，实现了最小可用的批量处理闭环。后续若继续演进，只需围绕导入导出、结果回显和更复杂业务约束扩展即可。</w:t>
      </w:r>
    </w:p>
    <w:p w14:paraId="7FF0C098">
      <w:pPr>
        <w:spacing w:after="0" w:line="276" w:lineRule="auto"/>
        <w:ind w:left="907"/>
      </w:pPr>
      <w:r>
        <w:rPr>
          <w:rFonts w:ascii="宋体" w:hAnsi="宋体" w:eastAsia="宋体"/>
          <w:b w:val="0"/>
          <w:sz w:val="24"/>
        </w:rPr>
        <w:t>5.2.3 低代码配置模块实现</w:t>
      </w:r>
    </w:p>
    <w:p>
      <w:pPr>
        <w:spacing w:lineRule="exact" w:line="440" w:before="0" w:after="0"/>
        <w:ind w:firstLine="480" w:left="0"/>
        <w:jc w:val="both"/>
      </w:pPr>
      <w:r>
        <w:rPr>
          <w:rFonts w:ascii="Times New Roman" w:hAnsi="Times New Roman" w:eastAsia="宋体"/>
          <w:sz w:val="24"/>
        </w:rPr>
        <w:t>低代码配置模块的重点不在于“页面搭得多快”，而在于“配置对象是否可治理”。当前 meta 页面已经接入数据库，能够同时展示实体、字段、页面三类配置对象及其统计信息，并提供配置能力说明、预览区、版本治理区、依赖分析区和发布历史区。用户可以先选择预览实体、焦点字段和页面版本，再查看对应实体的字段集、页面配置和就绪检查结果，这使得低代码配置不再是抽象的 JSON 文本，而成为一个可浏览、可验证、可回滚的治理界面。</w:t>
      </w:r>
    </w:p>
    <w:p>
      <w:pPr>
        <w:spacing w:lineRule="exact" w:line="440" w:before="0" w:after="0"/>
        <w:ind w:firstLine="480" w:left="0"/>
        <w:jc w:val="both"/>
      </w:pPr>
      <w:r>
        <w:rPr>
          <w:rFonts w:ascii="Times New Roman" w:hAnsi="Times New Roman" w:eastAsia="宋体"/>
          <w:sz w:val="24"/>
        </w:rPr>
        <w:t>服务层 getMetaManagementOverview 会一次性读取 entity_meta、field_meta、page_meta 以及相关审计日志，组装实体列表、字段列表、页面版本分组、预览对象、依赖信息、快照历史和发布记录等内容。页面层因此能够同时看到“当前对象是什么”“已经发布了什么”“哪些字段被页面引用”“最近发布过哪些版本”等信息。这种总览式组装方式对论文来说很重要，因为它说明低代码模块不是只做 CRUD，而是从一开始就把配置生命周期治理纳入设计范围。</w:t>
      </w:r>
    </w:p>
    <w:p>
      <w:pPr>
        <w:spacing w:lineRule="exact" w:line="440" w:before="0" w:after="0"/>
        <w:ind w:firstLine="480" w:left="0"/>
        <w:jc w:val="both"/>
      </w:pPr>
      <w:r>
        <w:rPr>
          <w:rFonts w:ascii="Times New Roman" w:hAnsi="Times New Roman" w:eastAsia="宋体"/>
          <w:sz w:val="24"/>
        </w:rPr>
        <w:t>在具体操作上，系统已经实现实体、字段、页面的新增、修改、删除，并对配置文本进行 JSON 解析与合法性校验；同时还实现了实体级和字段级快照留存、页面级版本发布、克隆新版本与回滚。实体和字段发布时会自动递增版本号并写入 MetaConfigSnapshot；页面发布时则会维护同一 entityId + pageCode 下只有一个已发布版本的约束，并把旧版本降为 DISABLED。</w:t>
      </w:r>
    </w:p>
    <w:p>
      <w:pPr>
        <w:spacing w:lineRule="exact" w:line="440" w:before="0" w:after="0"/>
        <w:ind w:firstLine="480" w:left="0"/>
        <w:jc w:val="both"/>
      </w:pPr>
      <w:r>
        <w:rPr>
          <w:rFonts w:ascii="Times New Roman" w:hAnsi="Times New Roman" w:eastAsia="宋体"/>
          <w:sz w:val="24"/>
        </w:rPr>
        <w:t>页面版本发布治理的核心代码如下：</w:t>
      </w:r>
    </w:p>
    <w:p>
      <w:pPr>
        <w:spacing w:lineRule="exact" w:line="360" w:before="80" w:after="80"/>
        <w:ind w:firstLine="0" w:left="360"/>
        <w:jc w:val="left"/>
      </w:pPr>
      <w:r>
        <w:rPr>
          <w:rFonts w:ascii="Courier New" w:hAnsi="Courier New" w:eastAsia="Courier New"/>
          <w:sz w:val="21"/>
        </w:rPr>
        <w:t>await prisma.$transaction(async (tx) =&gt; {</w:t>
        <w:br/>
        <w:t xml:space="preserve">  if (publishedPage &amp;&amp; publishedPage.id !== page.id) {</w:t>
        <w:br/>
        <w:t xml:space="preserve">    await tx.pageMeta.update({</w:t>
        <w:br/>
        <w:t xml:space="preserve">      where: { id: publishedPage.id },</w:t>
        <w:br/>
        <w:t xml:space="preserve">      data: { status: RecordStatus.DISABLED }</w:t>
        <w:br/>
        <w:t xml:space="preserve">    });</w:t>
        <w:br/>
        <w:t xml:space="preserve">  }</w:t>
        <w:br/>
        <w:br/>
        <w:t xml:space="preserve">  await tx.pageMeta.update({</w:t>
        <w:br/>
        <w:t xml:space="preserve">    where: { id: page.id },</w:t>
        <w:br/>
        <w:t xml:space="preserve">    data: { status: RecordStatus.PUBLISHED }</w:t>
        <w:br/>
        <w:t xml:space="preserve">  });</w:t>
        <w:br/>
        <w:t>});</w:t>
        <w:br/>
        <w:br/>
        <w:t>await createAuditLog({</w:t>
        <w:br/>
        <w:t xml:space="preserve">  operatorId: input.session.userId,</w:t>
        <w:br/>
        <w:t xml:space="preserve">  action: "META_PAGE_PUBLISHED",</w:t>
        <w:br/>
        <w:t xml:space="preserve">  targetType: "PAGE_META",</w:t>
        <w:br/>
        <w:t xml:space="preserve">  targetId: page.id,</w:t>
        <w:br/>
        <w:t xml:space="preserve">  detail: {</w:t>
        <w:br/>
        <w:t xml:space="preserve">    entityCode: page.entity.entityCode,</w:t>
        <w:br/>
        <w:t xml:space="preserve">    pageCode: page.pageCode,</w:t>
        <w:br/>
        <w:t xml:space="preserve">    version: page.version,</w:t>
        <w:br/>
        <w:t xml:space="preserve">    previousPublishedVersion: publishedPage?.version ?? null</w:t>
        <w:br/>
        <w:t xml:space="preserve">  }</w:t>
        <w:br/>
        <w:t>});</w:t>
      </w:r>
    </w:p>
    <w:p>
      <w:pPr>
        <w:spacing w:lineRule="exact" w:line="440" w:before="0" w:after="0"/>
        <w:ind w:firstLine="480" w:left="0"/>
        <w:jc w:val="both"/>
      </w:pPr>
      <w:r>
        <w:rPr>
          <w:rFonts w:ascii="Times New Roman" w:hAnsi="Times New Roman" w:eastAsia="宋体"/>
          <w:sz w:val="24"/>
        </w:rPr>
        <w:t>这段代码体现了页面发布治理的两个核心约束。其一，同一页面编码只能有一个线上发布版本，发布新版本前必须先处理旧版本状态；其二，所有发布动作都必须进入审计日志，保留实体编码、页面编码、版本号和历史已发布版本等信息。借助这套机制，页面配置即使尚未完全进入运行时动态渲染，也已经具备了可发布、可回滚、可审计的工程基础。</w:t>
      </w:r>
    </w:p>
    <w:p>
      <w:pPr>
        <w:spacing w:lineRule="exact" w:line="440" w:before="0" w:after="0"/>
        <w:ind w:firstLine="480" w:left="0"/>
        <w:jc w:val="both"/>
      </w:pPr>
      <w:r>
        <w:rPr>
          <w:rFonts w:ascii="Times New Roman" w:hAnsi="Times New Roman" w:eastAsia="宋体"/>
          <w:sz w:val="24"/>
        </w:rPr>
        <w:t>实体和字段治理部分同样具备较强的实现深度。实体发布前必须至少具备 1 个字段和 1 份页面配置；字段回滚时会校验目标实体是否存在以及目标字段编码是否冲突；依赖分析逻辑会检测字段是否被页面 Schema 引用，防止配置对象在未评估影响的情况下被直接修改。对于论文而言，这说明当前系统已经先完成了“治理基础设施”，而运行时动态渲染则是在这一基础上的下一阶段扩展。</w:t>
      </w:r>
    </w:p>
    <w:p w14:paraId="5D02C5D7">
      <w:pPr>
        <w:spacing w:after="0" w:line="276" w:lineRule="auto"/>
        <w:ind w:left="907"/>
      </w:pPr>
      <w:r>
        <w:rPr>
          <w:rFonts w:ascii="宋体" w:hAnsi="宋体" w:eastAsia="宋体"/>
          <w:b w:val="0"/>
          <w:sz w:val="24"/>
        </w:rPr>
        <w:t>5.2.4 规则编排模块实现</w:t>
      </w:r>
    </w:p>
    <w:p>
      <w:pPr>
        <w:spacing w:lineRule="exact" w:line="440" w:before="0" w:after="0"/>
        <w:ind w:firstLine="480" w:left="0"/>
        <w:jc w:val="both"/>
      </w:pPr>
      <w:r>
        <w:rPr>
          <w:rFonts w:ascii="Times New Roman" w:hAnsi="Times New Roman" w:eastAsia="宋体"/>
          <w:sz w:val="24"/>
        </w:rPr>
        <w:t>规则编排模块已经从最初的“画一个规则页面入口”发展为包含规则定义、版本管理、画布设计、节点配置语义、试运行和业务联动的完整工作台。规则页上方通过 getRuleManagementOverview 聚合 rule_definition、rule_version 和 rule_exec_log 三类数据，生成规则总数、已发布规则、版本总数、试运行记录等指标；中部展示当前触发场景、节点模型和节点配置语义；下方则提供规则目录、版本卡片、画布设计器和试运行入口。</w:t>
      </w:r>
    </w:p>
    <w:p>
      <w:pPr>
        <w:spacing w:lineRule="exact" w:line="440" w:before="0" w:after="0"/>
        <w:ind w:firstLine="480" w:left="0"/>
        <w:jc w:val="both"/>
      </w:pPr>
      <w:r>
        <w:rPr>
          <w:rFonts w:ascii="Times New Roman" w:hAnsi="Times New Roman" w:eastAsia="宋体"/>
          <w:sz w:val="24"/>
        </w:rPr>
        <w:t>与上一版相比，当前规则模块最大的增强在于“节点配置语义”已经从自由 JSON 收敛为可解释的字段路径、操作符和动作模板集合。系统在 rule-scenes.ts 中预定义了规则触发场景、节点种类、字段路径、条件操作符、动作选项、推荐配置模板和节点语义说明；在 RuleDesigner 中则把这些语义通过右侧节点编辑器暴露出来，使设计者可以为开始节点、条件节点、动作节点和结果节点加载模板、编辑 JSON、查看语义提示，并把编辑结果直接写回图结构。</w:t>
      </w:r>
    </w:p>
    <w:p>
      <w:pPr>
        <w:spacing w:lineRule="exact" w:line="440" w:before="0" w:after="0"/>
        <w:ind w:firstLine="480" w:left="0"/>
        <w:jc w:val="both"/>
      </w:pPr>
      <w:r>
        <w:rPr>
          <w:rFonts w:ascii="Times New Roman" w:hAnsi="Times New Roman" w:eastAsia="宋体"/>
          <w:sz w:val="24"/>
        </w:rPr>
        <w:t>RuleDesigner 的实现基于 React Flow。设计器支持新增节点、拖拽连线、选中节点、编辑名称与说明、载入推荐 JSON 模板、应用配置和删除节点，并将最终图结构序列化为 JSON 文本提交给服务端。对于已发布版本，系统在保存时会自动另存为新草稿，避免直接覆盖线上版本；这与规则服务 performRuleVersionAction 中的 shouldForkNewVersion 逻辑相对应，使设计器和版本治理在行为上保持一致。</w:t>
      </w:r>
    </w:p>
    <w:p>
      <w:pPr>
        <w:spacing w:lineRule="exact" w:line="440" w:before="0" w:after="0"/>
        <w:ind w:firstLine="480" w:left="0"/>
        <w:jc w:val="both"/>
      </w:pPr>
      <w:r>
        <w:rPr>
          <w:rFonts w:ascii="Times New Roman" w:hAnsi="Times New Roman" w:eastAsia="宋体"/>
          <w:sz w:val="24"/>
        </w:rPr>
        <w:t>在服务层，规则模块实现了规则定义新建、规则版本保存草稿、克隆版本、发布、回滚和试运行等动作。getRuleManagementOverview 会为当前选中规则提供路径摘要、节点数、边数、最近试运行记录和默认样例输入；performRuleDefinitionAction 负责规则定义的新建和编码校验；performRuleVersionAction 则负责图结构解析、已发布版本另存草稿、发布信息写入和回滚原因校验；performRuleTestRunAction 会把 JSON 样例解析为输入对象，生成规则执行结果并写入 rule_exec_log 和 audit_log。</w:t>
      </w:r>
    </w:p>
    <w:p>
      <w:pPr>
        <w:spacing w:lineRule="exact" w:line="440" w:before="0" w:after="0"/>
        <w:ind w:firstLine="480" w:left="0"/>
        <w:jc w:val="both"/>
      </w:pPr>
      <w:r>
        <w:rPr>
          <w:rFonts w:ascii="Times New Roman" w:hAnsi="Times New Roman" w:eastAsia="宋体"/>
          <w:sz w:val="24"/>
        </w:rPr>
        <w:t>为了便于验证节点语义的业务价值，当前种子数据中还内置了一条已发布的发货前校验示例规则 RULE_SHIPMENT_EXPRESS_GUARD。该规则用于演示“加急订单若发货时未选择顺丰速运，则自动锁单、标记异常并阻断发货”的链路。也就是说，规则模块已经不再只是停留在试运行层面，而是能够通过统一节点语义真正参与订单动作校验和结果回写。</w:t>
      </w:r>
    </w:p>
    <w:p w14:paraId="6050A039">
      <w:pPr>
        <w:spacing w:after="0" w:line="276" w:lineRule="auto"/>
        <w:ind w:left="907"/>
      </w:pPr>
      <w:r>
        <w:rPr>
          <w:rFonts w:ascii="宋体" w:hAnsi="宋体" w:eastAsia="宋体"/>
          <w:b w:val="0"/>
          <w:sz w:val="24"/>
        </w:rPr>
        <w:t>5.2.5 日志与审计模块实现</w:t>
      </w:r>
    </w:p>
    <w:p>
      <w:pPr>
        <w:spacing w:lineRule="exact" w:line="440" w:before="0" w:after="0"/>
        <w:ind w:firstLine="480" w:left="0"/>
        <w:jc w:val="both"/>
      </w:pPr>
      <w:r>
        <w:rPr>
          <w:rFonts w:ascii="Times New Roman" w:hAnsi="Times New Roman" w:eastAsia="宋体"/>
          <w:sz w:val="24"/>
        </w:rPr>
        <w:t>日志与审计模块承担了“把系统行为解释清楚”的职责。当前系统已经实现审计日志页和规则执行日志页两个日志入口。审计日志页支持按动作编码、目标类型、关键字和日期范围筛选，主要用于追踪登录退出、用户治理、角色权限调整、订单动作和低代码治理动作；规则执行日志页则支持按规则编码、场景、状态、订单关键字和日期范围筛选，主要用于观察规则在哪个订单、哪个场景下命中，以及命中后的输入输出摘要和执行耗时。</w:t>
      </w:r>
    </w:p>
    <w:p>
      <w:pPr>
        <w:spacing w:lineRule="exact" w:line="440" w:before="0" w:after="0"/>
        <w:ind w:firstLine="480" w:left="0"/>
        <w:jc w:val="both"/>
      </w:pPr>
      <w:r>
        <w:rPr>
          <w:rFonts w:ascii="Times New Roman" w:hAnsi="Times New Roman" w:eastAsia="宋体"/>
          <w:sz w:val="24"/>
        </w:rPr>
        <w:t>服务层 log-service 通过 normalizeAuditLogFilters、normalizeRuleLogFilters 和 buildDateRange 把前端输入收敛成统一查询条件，再利用 Prisma 构造 where 子句。对于日志 detail、input、result 中的 JSON 内容，系统会通过 summarizeJson 和 formatSummaryValue 将其转换为适合页面展示的摘要条目，避免把大段原始 JSON 直接铺在列表页中。这样既保证了追踪信息足够完整，又兼顾了中后台页面的可读性。</w:t>
      </w:r>
    </w:p>
    <w:p>
      <w:pPr>
        <w:spacing w:lineRule="exact" w:line="440" w:before="0" w:after="0"/>
        <w:ind w:firstLine="480" w:left="0"/>
        <w:jc w:val="both"/>
      </w:pPr>
      <w:r>
        <w:rPr>
          <w:rFonts w:ascii="Times New Roman" w:hAnsi="Times New Roman" w:eastAsia="宋体"/>
          <w:sz w:val="24"/>
        </w:rPr>
        <w:t>从系统整体来看，日志模块并不是附属功能，而是贯穿用户鉴权、订单事务、规则执行和低代码治理的重要基础设施。无论是 performUserManagementAction、performOrderActionFromPrisma、performMetaPageVersionAction 还是 performRuleVersionAction，都会把关键操作写入 audit_log；规则执行器 executeOrderRulesForScene 则会同步沉淀 rule_exec_log、订单命中记录和订单操作日志。也正因为有了这套留痕体系，第五章后续讨论的关键业务流程才能被明确验证和复盘。</w:t>
      </w:r>
    </w:p>
    <w:p w14:paraId="32C327FE">
      <w:pPr>
        <w:spacing w:after="0" w:line="276" w:lineRule="auto"/>
        <w:ind w:left="454"/>
      </w:pPr>
      <w:r>
        <w:rPr>
          <w:rFonts w:ascii="宋体" w:hAnsi="宋体" w:eastAsia="宋体"/>
          <w:b w:val="0"/>
          <w:sz w:val="24"/>
        </w:rPr>
        <w:t>5.3 关键业务流程实现</w:t>
      </w:r>
    </w:p>
    <w:p>
      <w:pPr>
        <w:spacing w:lineRule="exact" w:line="440" w:before="0" w:after="0"/>
        <w:ind w:firstLine="480" w:left="0"/>
        <w:jc w:val="both"/>
      </w:pPr>
      <w:r>
        <w:rPr>
          <w:rFonts w:ascii="Times New Roman" w:hAnsi="Times New Roman" w:eastAsia="宋体"/>
          <w:sz w:val="24"/>
        </w:rPr>
        <w:t>在现有代码中，系统已经形成多条具有代表性的关键业务流程，它们覆盖了人工处理、规则触发、配置治理和版本控制等论文关心的核心能力。为了避免第五章停留在静态模块说明，本节选取订单审核、自动分仓、字段配置与动态渲染基础链路、规则试运行与发布回滚四条流程进行展开，分别说明页面入口、服务执行、规则联动和日志留痕的具体实现方式。</w:t>
      </w:r>
    </w:p>
    <w:p>
      <w:pPr>
        <w:spacing w:lineRule="exact" w:line="440" w:before="0" w:after="0"/>
        <w:ind w:firstLine="480" w:left="0"/>
        <w:jc w:val="both"/>
      </w:pPr>
      <w:r>
        <w:rPr>
          <w:rFonts w:ascii="Times New Roman" w:hAnsi="Times New Roman" w:eastAsia="宋体"/>
          <w:sz w:val="24"/>
        </w:rPr>
        <w:t>与很多毕业设计只给出流程图不同，当前系统中的这些流程都已经在代码层形成了明确的入口函数、路由处理器和持久化结果。例如订单审核会进入订单事务服务，自动分仓会触发规则执行器，字段配置变更会生成快照与发布记录，规则试运行会写入 rule_exec_log。因此，本节实际上是在以现有代码为依据，对系统“如何跑起来”做细化说明。</w:t>
      </w:r>
    </w:p>
    <w:p w14:paraId="7811B2A7">
      <w:pPr>
        <w:spacing w:after="0" w:line="276" w:lineRule="auto"/>
        <w:ind w:left="907"/>
      </w:pPr>
      <w:r>
        <w:rPr>
          <w:rFonts w:ascii="宋体" w:hAnsi="宋体" w:eastAsia="宋体"/>
          <w:b w:val="0"/>
          <w:sz w:val="24"/>
        </w:rPr>
        <w:t>5.3.1 订单审核流程实现</w:t>
      </w:r>
    </w:p>
    <w:p>
      <w:pPr>
        <w:spacing w:lineRule="exact" w:line="440" w:before="0" w:after="0"/>
        <w:ind w:firstLine="480" w:left="0"/>
        <w:jc w:val="both"/>
      </w:pPr>
      <w:r>
        <w:rPr>
          <w:rFonts w:ascii="Times New Roman" w:hAnsi="Times New Roman" w:eastAsia="宋体"/>
          <w:sz w:val="24"/>
        </w:rPr>
        <w:t>订单审核流程从订单列表页开始。审核人员在 /orders 页面通过关键字、状态、来源渠道和异常标记筛选出待处理订单，进入详情页后查看客户信息、金额摘要、规则命中记录和处理日志，再根据情况选择“审核通过”或“审核驳回”。该页面的所有动作均通过表单提交到 /api/orders/[id]/actions，路由层只负责获取当前会话、校验动作编码合法性和调用订单服务，从而保证入口保持统一。</w:t>
      </w:r>
    </w:p>
    <w:p>
      <w:pPr>
        <w:spacing w:lineRule="exact" w:line="440" w:before="0" w:after="0"/>
        <w:ind w:firstLine="480" w:left="0"/>
        <w:jc w:val="both"/>
      </w:pPr>
      <w:r>
        <w:rPr>
          <w:rFonts w:ascii="Times New Roman" w:hAnsi="Times New Roman" w:eastAsia="宋体"/>
          <w:sz w:val="24"/>
        </w:rPr>
        <w:t>进入服务层后，系统先调用 applyOrderActionToRecord 对人工动作进行状态与权限检查。对于审核通过，系统要求订单必须处于可审核状态，并在通过后将主状态切换为 PENDING_WAREHOUSE、审核模式切换为“人工审核通过”、移除人工复核标签并追加“人工放行”标签；对于审核驳回，则要求必须填写驳回原因，并把订单状态直接切换为 CANCELED。所有人工动作都会生成新的人工操作日志项，用于记录操作者与处理原因。</w:t>
      </w:r>
    </w:p>
    <w:p>
      <w:pPr>
        <w:spacing w:lineRule="exact" w:line="440" w:before="0" w:after="0"/>
        <w:ind w:firstLine="480" w:left="0"/>
        <w:jc w:val="both"/>
      </w:pPr>
      <w:r>
        <w:rPr>
          <w:rFonts w:ascii="Times New Roman" w:hAnsi="Times New Roman" w:eastAsia="宋体"/>
          <w:sz w:val="24"/>
        </w:rPr>
        <w:t>订单审核流程的关键之处在于“人工审核不是终点”。当审核通过动作成功后，performOrderActionFromPrisma 会进一步触发 scene = 审核通过后的规则执行器，以便在同一事务内继续完成自动分仓、系统备注更新或标签追加等后续处理。也就是说，审核流程已经从传统的单步人工审批，演进为“人工确认 + 规则接续”的复合型履约入口。这种设计既保留了人工判断空间，也让系统能够在人工确认之后立即接上自动化处理。</w:t>
      </w:r>
    </w:p>
    <w:p>
      <w:pPr>
        <w:spacing w:lineRule="exact" w:line="440" w:before="0" w:after="0"/>
        <w:ind w:firstLine="480" w:left="0"/>
        <w:jc w:val="both"/>
      </w:pPr>
      <w:r>
        <w:rPr>
          <w:rFonts w:ascii="Times New Roman" w:hAnsi="Times New Roman" w:eastAsia="宋体"/>
          <w:sz w:val="24"/>
        </w:rPr>
        <w:t>流程执行结束后，系统会统一更新订单表、操作日志、审计日志和可能存在的规则执行日志，并通过 revalidatePath 刷新列表页与详情页。因此，审核人员在页面上看到的不是静态提示，而是本次人工操作和规则处理共同作用后的最新订单状态。这一闭环证明当前订单审核功能已经具备较高的实现完整度。</w:t>
      </w:r>
    </w:p>
    <w:p w14:paraId="0F4B750D">
      <w:pPr>
        <w:spacing w:after="0" w:line="276" w:lineRule="auto"/>
        <w:ind w:left="907"/>
      </w:pPr>
      <w:r>
        <w:rPr>
          <w:rFonts w:ascii="宋体" w:hAnsi="宋体" w:eastAsia="宋体"/>
          <w:b w:val="0"/>
          <w:sz w:val="24"/>
        </w:rPr>
        <w:t>5.3.2 自动分仓流程实现</w:t>
      </w:r>
    </w:p>
    <w:p>
      <w:pPr>
        <w:spacing w:lineRule="exact" w:line="440" w:before="0" w:after="0"/>
        <w:ind w:firstLine="480" w:left="0"/>
        <w:jc w:val="both"/>
      </w:pPr>
      <w:r>
        <w:rPr>
          <w:rFonts w:ascii="Times New Roman" w:hAnsi="Times New Roman" w:eastAsia="宋体"/>
          <w:sz w:val="24"/>
        </w:rPr>
        <w:t>自动分仓流程主要发生在订单审核通过之后，或订单解除锁单、解除异常并重新回到待分仓状态之后。订单服务在这些节点上会以“审核通过后”场景调用 executeOrderRulesForScene，并把当前订单状态、收货地址、金额信息和动作上下文一并传给规则执行器。如果命中自动分仓规则，规则执行器将直接在事务内写入目标仓库编码、目标仓库名称和新的订单状态，从而把订单推进到待发货。</w:t>
      </w:r>
    </w:p>
    <w:p>
      <w:pPr>
        <w:spacing w:lineRule="exact" w:line="440" w:before="0" w:after="0"/>
        <w:ind w:firstLine="480" w:left="0"/>
        <w:jc w:val="both"/>
      </w:pPr>
      <w:r>
        <w:rPr>
          <w:rFonts w:ascii="Times New Roman" w:hAnsi="Times New Roman" w:eastAsia="宋体"/>
          <w:sz w:val="24"/>
        </w:rPr>
        <w:t>自动分仓动作语义与仓库状态回写的核心逻辑如下：</w:t>
      </w:r>
    </w:p>
    <w:p>
      <w:pPr>
        <w:spacing w:lineRule="exact" w:line="360" w:before="80" w:after="80"/>
        <w:ind w:firstLine="0" w:left="360"/>
        <w:jc w:val="left"/>
      </w:pPr>
      <w:r>
        <w:rPr>
          <w:rFonts w:ascii="Courier New" w:hAnsi="Courier New" w:eastAsia="Courier New"/>
          <w:sz w:val="21"/>
        </w:rPr>
        <w:t>if (ruleCode === "RULE_WAREHOUSE_PRIORITY" || label.includes("返回仓库") || label.includes("分仓")) {</w:t>
        <w:br/>
        <w:t xml:space="preserve">  return [</w:t>
        <w:br/>
        <w:t xml:space="preserve">    {</w:t>
        <w:br/>
        <w:t xml:space="preserve">      action: "assign-warehouse",</w:t>
        <w:br/>
        <w:t xml:space="preserve">      note: "规则根据地址区域自动完成分仓。",</w:t>
        <w:br/>
        <w:t xml:space="preserve">      stopProcessing: true</w:t>
        <w:br/>
        <w:t xml:space="preserve">    }</w:t>
        <w:br/>
        <w:t xml:space="preserve">  ];</w:t>
        <w:br/>
        <w:t>}</w:t>
        <w:br/>
        <w:br/>
        <w:t>case "assign-warehouse": {</w:t>
        <w:br/>
        <w:t xml:space="preserve">  const warehouse = await resolveWarehouseForRule(tx, record, action.warehouseCode);</w:t>
        <w:br/>
        <w:t xml:space="preserve">  if (!warehouse) {</w:t>
        <w:br/>
        <w:t xml:space="preserve">    return;</w:t>
        <w:br/>
        <w:t xml:space="preserve">  }</w:t>
        <w:br/>
        <w:br/>
        <w:t xml:space="preserve">  record.warehouseCode = warehouse.code;</w:t>
        <w:br/>
        <w:t xml:space="preserve">  record.warehouseName = warehouse.name;</w:t>
        <w:br/>
        <w:t xml:space="preserve">  record.status = "PENDING_SHIPMENT";</w:t>
        <w:br/>
        <w:t xml:space="preserve">  record.notes.system = `规则自动完成分仓，已分配到 ${warehouse.name}。`;</w:t>
        <w:br/>
        <w:t xml:space="preserve">  return;</w:t>
        <w:br/>
        <w:t>}</w:t>
      </w:r>
    </w:p>
    <w:p>
      <w:pPr>
        <w:spacing w:lineRule="exact" w:line="440" w:before="0" w:after="0"/>
        <w:ind w:firstLine="480" w:left="0"/>
        <w:jc w:val="both"/>
      </w:pPr>
      <w:r>
        <w:rPr>
          <w:rFonts w:ascii="Times New Roman" w:hAnsi="Times New Roman" w:eastAsia="宋体"/>
          <w:sz w:val="24"/>
        </w:rPr>
        <w:t>上述代码说明，自动分仓不是额外写的一套独立业务流程，而是规则动作语义中的一种标准动作。只要规则图命中了 assign-warehouse 语义，执行器就会调用 resolveWarehouseForRule 按区域和优先级解析仓库，并把订单直接推进到待发货状态。当前实现中已经为 WH-EAST-01、WH-SOUTH-02、WH-NORTH-01 等仓库预设了区域映射，使浙江、江苏、上海、广东、北京等区域能够按规则得到不同仓配结果。</w:t>
      </w:r>
    </w:p>
    <w:p>
      <w:pPr>
        <w:spacing w:lineRule="exact" w:line="440" w:before="0" w:after="0"/>
        <w:ind w:firstLine="480" w:left="0"/>
        <w:jc w:val="both"/>
      </w:pPr>
      <w:r>
        <w:rPr>
          <w:rFonts w:ascii="Times New Roman" w:hAnsi="Times New Roman" w:eastAsia="宋体"/>
          <w:sz w:val="24"/>
        </w:rPr>
        <w:t>同时，系统仍保留手工分仓作为兜底能力。如果自动规则没有命中、仓库解析失败，或运营人员需要人工干预，订单详情页仍可通过“手工分仓”表单直接指定 warehouseCode，并填写分仓原因。这种“规则自动处理 + 人工覆盖兜底”的实现方式更符合真实中后台业务场景，也说明当前自动分仓已经达到论文原型系统所要求的核心闭环。</w:t>
      </w:r>
    </w:p>
    <w:p w14:paraId="6740BDB1">
      <w:pPr>
        <w:spacing w:after="0" w:line="276" w:lineRule="auto"/>
        <w:ind w:left="907"/>
      </w:pPr>
      <w:r>
        <w:rPr>
          <w:rFonts w:ascii="宋体" w:hAnsi="宋体" w:eastAsia="宋体"/>
          <w:b w:val="0"/>
          <w:sz w:val="24"/>
        </w:rPr>
        <w:t>5.3.3 字段配置与动态渲染实现</w:t>
      </w:r>
    </w:p>
    <w:p>
      <w:pPr>
        <w:spacing w:lineRule="exact" w:line="440" w:before="0" w:after="0"/>
        <w:ind w:firstLine="480" w:left="0"/>
        <w:jc w:val="both"/>
      </w:pPr>
      <w:r>
        <w:rPr>
          <w:rFonts w:ascii="Times New Roman" w:hAnsi="Times New Roman" w:eastAsia="宋体"/>
          <w:sz w:val="24"/>
        </w:rPr>
        <w:t>字段配置与动态渲染相关能力当前采取“治理先行、运行时逐步补齐”的实现路线。现有代码已经支持实施人员在低代码配置页中维护实体、字段与页面配置，并通过页面预览区把 selected entity、selected field、selected page version 三者组合起来查看。换言之，系统已经具备“字段如何定义、页面如何配置、版本如何选择、依赖如何检查”的完整配置链路。</w:t>
      </w:r>
    </w:p>
    <w:p>
      <w:pPr>
        <w:spacing w:lineRule="exact" w:line="440" w:before="0" w:after="0"/>
        <w:ind w:firstLine="480" w:left="0"/>
        <w:jc w:val="both"/>
      </w:pPr>
      <w:r>
        <w:rPr>
          <w:rFonts w:ascii="Times New Roman" w:hAnsi="Times New Roman" w:eastAsia="宋体"/>
          <w:sz w:val="24"/>
        </w:rPr>
        <w:t>在字段治理方面，系统支持字段名称、字段编码、类型、必填状态、Schema 文本和版本号的维护，并允许通过字段快照进行发布与回滚。依赖分析逻辑能够检测某个字段是否被页面 Schema 引用，从而在修改或回滚前提示潜在影响范围。在页面治理方面，系统按 entityId + pageCode 对页面进行版本分组，页面发布、克隆、回滚与历史查看均围绕这一分组展开。对论文而言，这说明低代码能力已经从简单的“配一张表单”提升到“管理一组可发布页面配置”。</w:t>
      </w:r>
    </w:p>
    <w:p>
      <w:pPr>
        <w:spacing w:lineRule="exact" w:line="440" w:before="0" w:after="0"/>
        <w:ind w:firstLine="480" w:left="0"/>
        <w:jc w:val="both"/>
      </w:pPr>
      <w:r>
        <w:rPr>
          <w:rFonts w:ascii="Times New Roman" w:hAnsi="Times New Roman" w:eastAsia="宋体"/>
          <w:sz w:val="24"/>
        </w:rPr>
        <w:t>虽然当前版本尚未完全实现根据页面 Schema 在运行时自动拼装列表页、详情页和表单页组件，但从现有代码可以看出，动态渲染所需的前置条件已经基本具备：一方面，字段、页面与版本信息都已结构化落库；另一方面，预览、发布、回滚和依赖分析链路已经打通。后续只需在此基础上继续完善运行时解释层，即可把现有治理结果进一步转化为更彻底的低代码页面生成能力。</w:t>
      </w:r>
    </w:p>
    <w:p w14:paraId="7754E391">
      <w:pPr>
        <w:spacing w:after="0" w:line="276" w:lineRule="auto"/>
        <w:ind w:left="907"/>
      </w:pPr>
      <w:r>
        <w:rPr>
          <w:rFonts w:ascii="宋体" w:hAnsi="宋体" w:eastAsia="宋体"/>
          <w:b w:val="0"/>
          <w:sz w:val="24"/>
        </w:rPr>
        <w:t>5.3.4 规则试运行与发布回滚实现</w:t>
      </w:r>
      <w:bookmarkStart w:id="0" w:name="_GoBack"/>
      <w:bookmarkEnd w:id="0"/>
    </w:p>
    <w:p>
      <w:pPr>
        <w:spacing w:lineRule="exact" w:line="440" w:before="0" w:after="0"/>
        <w:ind w:firstLine="480" w:left="0"/>
        <w:jc w:val="both"/>
      </w:pPr>
      <w:r>
        <w:rPr>
          <w:rFonts w:ascii="Times New Roman" w:hAnsi="Times New Roman" w:eastAsia="宋体"/>
          <w:sz w:val="24"/>
        </w:rPr>
        <w:t>规则试运行与发布回滚流程是当前规则模块中最完整的一条治理链路。设计者在规则页选择某一规则版本后，可以直接在页面中输入 JSON 样例数据，提交至 /api/rules/test-runs，由 Route Handler 调用 performRuleTestRunAction 完成样例解析、图结构规范化、路径推导、结果摘要生成和 rule_exec_log 写入。页面随后会自动刷新规则页和规则日志页，使试运行结果能够立即反馈到当前工作台。</w:t>
      </w:r>
    </w:p>
    <w:p>
      <w:pPr>
        <w:spacing w:lineRule="exact" w:line="440" w:before="0" w:after="0"/>
        <w:ind w:firstLine="480" w:left="0"/>
        <w:jc w:val="both"/>
      </w:pPr>
      <w:r>
        <w:rPr>
          <w:rFonts w:ascii="Times New Roman" w:hAnsi="Times New Roman" w:eastAsia="宋体"/>
          <w:sz w:val="24"/>
        </w:rPr>
        <w:t>对于已经设计好的规则版本，系统支持保存草稿、克隆版本、发布版本和按指定版本回滚。已发布版本再次保存时会自动另存为新草稿；执行回滚时必须填写回滚原因；发布与回滚结果都会通过 publishInfo 字段写入发布人、发布时间、模式、备注或原因，并同步落审计日志。这样既避免了线上版本被直接覆盖，也保证了规则变更具备可审计性和可回溯性。</w:t>
      </w:r>
    </w:p>
    <w:p>
      <w:pPr>
        <w:spacing w:lineRule="exact" w:line="440" w:before="0" w:after="0"/>
        <w:ind w:firstLine="480" w:left="0"/>
        <w:jc w:val="both"/>
      </w:pPr>
      <w:r>
        <w:rPr>
          <w:rFonts w:ascii="Times New Roman" w:hAnsi="Times New Roman" w:eastAsia="宋体"/>
          <w:sz w:val="24"/>
        </w:rPr>
        <w:t>规则版本发布与回滚的核心实现如下：</w:t>
      </w:r>
    </w:p>
    <w:p>
      <w:pPr>
        <w:spacing w:lineRule="exact" w:line="360" w:before="80" w:after="80"/>
        <w:ind w:firstLine="0" w:left="360"/>
        <w:jc w:val="left"/>
      </w:pPr>
      <w:r>
        <w:rPr>
          <w:rFonts w:ascii="Courier New" w:hAnsi="Courier New" w:eastAsia="Courier New"/>
          <w:sz w:val="21"/>
        </w:rPr>
        <w:t>const publishPayload = {</w:t>
        <w:br/>
        <w:t xml:space="preserve">  publishedBy: input.session.name,</w:t>
        <w:br/>
        <w:t xml:space="preserve">  publishedAt: activationTime.toISOString(),</w:t>
        <w:br/>
        <w:t xml:space="preserve">  publishedAtText: formatDateTime(activationTime),</w:t>
        <w:br/>
        <w:t xml:space="preserve">  mode: input.action === "publish" ? "publish" : "rollback",</w:t>
        <w:br/>
        <w:t xml:space="preserve">  ...(input.payload.note?.trim() ? { note: input.payload.note.trim() } : {}),</w:t>
        <w:br/>
        <w:t xml:space="preserve">  ...(input.payload.reason?.trim() ? { reason: input.payload.reason.trim() } : {})</w:t>
        <w:br/>
        <w:t>};</w:t>
        <w:br/>
        <w:br/>
        <w:t>if (input.action === "rollback" &amp;&amp; !input.payload.reason?.trim()) {</w:t>
        <w:br/>
        <w:t xml:space="preserve">  return { ok: false, message: "执行规则回滚时必须填写回滚原因。" };</w:t>
        <w:br/>
        <w:t>}</w:t>
        <w:br/>
        <w:br/>
        <w:t>await prisma.$transaction([</w:t>
        <w:br/>
        <w:t xml:space="preserve">  prisma.ruleVersion.update({</w:t>
        <w:br/>
        <w:t xml:space="preserve">    where: { id: version.id },</w:t>
        <w:br/>
        <w:t xml:space="preserve">    data: { publishInfo: publishPayload }</w:t>
        <w:br/>
        <w:t xml:space="preserve">  }),</w:t>
        <w:br/>
        <w:t xml:space="preserve">  prisma.ruleDefinition.update({</w:t>
        <w:br/>
        <w:t xml:space="preserve">    where: { id: version.ruleId },</w:t>
        <w:br/>
        <w:t xml:space="preserve">    data: { status: RuleStatus.PUBLISHED }</w:t>
        <w:br/>
        <w:t xml:space="preserve">  })</w:t>
        <w:br/>
        <w:t>]);</w:t>
      </w:r>
    </w:p>
    <w:p>
      <w:pPr>
        <w:spacing w:lineRule="exact" w:line="440" w:before="0" w:after="0"/>
        <w:ind w:firstLine="480" w:left="0"/>
        <w:jc w:val="both"/>
      </w:pPr>
      <w:r>
        <w:rPr>
          <w:rFonts w:ascii="Times New Roman" w:hAnsi="Times New Roman" w:eastAsia="宋体"/>
          <w:sz w:val="24"/>
        </w:rPr>
        <w:t>该实现说明规则版本治理已经具备明确的发布对象、时间信息和原因信息，也说明发布不是简单改一个状态字段，而是与规则定义主表状态保持联动。更重要的是，当前系统中已发布规则可以直接参与订单审核、自动分仓和发货前校验等链路，因此规则版本治理并不是孤立存在，而是直接作用于真实业务行为。</w:t>
      </w:r>
    </w:p>
    <w:p>
      <w:pPr>
        <w:spacing w:lineRule="exact" w:line="440" w:before="0" w:after="0"/>
        <w:ind w:firstLine="480" w:left="0"/>
        <w:jc w:val="both"/>
      </w:pPr>
      <w:r>
        <w:rPr>
          <w:rFonts w:ascii="Times New Roman" w:hAnsi="Times New Roman" w:eastAsia="宋体"/>
          <w:sz w:val="24"/>
        </w:rPr>
        <w:t>为了验证这一链路，系统内置的 RULE_SHIPMENT_EXPRESS_GUARD 提供了一个非常典型的示例：若订单被标记为“加急”，且发货请求中 shippingCompany 不是“顺丰速运”，则规则会自动锁单、标记异常、追加标签并写入系统备注，同时阻断发货动作。这条规则把节点配置语义、规则发布、订单动作拦截和日志留痕完整串联起来，也成为当前第五章最能体现系统特色的业务示例之一。</w:t>
      </w:r>
    </w:p>
    <w:p>
      <w:pPr>
        <w:pStyle w:val="4"/>
      </w:pPr>
      <w:r>
        <w:t>5.4 系统测试与验收</w:t>
      </w:r>
    </w:p>
    <w:p>
      <w:pPr>
        <w:spacing w:lineRule="exact" w:line="440" w:before="0" w:after="0"/>
        <w:ind w:firstLine="480" w:left="0"/>
        <w:jc w:val="both"/>
      </w:pPr>
      <w:r>
        <w:rPr>
          <w:rFonts w:ascii="Times New Roman" w:hAnsi="Times New Roman" w:eastAsia="宋体"/>
          <w:sz w:val="24"/>
        </w:rPr>
        <w:t>由于本项目是毕业设计中的业务原型系统，第五章中的测试与验收工作重点放在“系统是否能跑通核心闭环”上，而不是大规模性能压测。当前测试主要分为两类：一类是工程层面的构建、类型和规范检查，用于确认代码具备基本可维护性；另一类是围绕登录鉴权、订单处理、低代码治理、规则试运行和规则联动的功能验证，用于确认论文提出的关键能力已经在代码中落地。</w:t>
      </w:r>
    </w:p>
    <w:p>
      <w:pPr>
        <w:spacing w:lineRule="exact" w:line="440" w:before="0" w:after="0"/>
        <w:ind w:firstLine="480" w:left="0"/>
        <w:jc w:val="both"/>
      </w:pPr>
      <w:r>
        <w:rPr>
          <w:rFonts w:ascii="Times New Roman" w:hAnsi="Times New Roman" w:eastAsia="宋体"/>
          <w:sz w:val="24"/>
        </w:rPr>
        <w:t>与前文各模块说明相对应，本节测试内容同样基于当前仓库的真实实现来写。也就是说，下面的功能测试并不是计划项，而是围绕已经存在的页面、接口和服务函数进行的实际验证；验收分析也会明确区分“已达到论文原型目标”的部分与“仍需继续完善”的部分。</w:t>
      </w:r>
    </w:p>
    <w:p>
      <w:pPr>
        <w:pStyle w:val="5"/>
      </w:pPr>
      <w:r>
        <w:t>5.4.1 功能测试</w:t>
      </w:r>
    </w:p>
    <w:p>
      <w:pPr>
        <w:spacing w:lineRule="exact" w:line="440" w:before="0" w:after="0"/>
        <w:ind w:firstLine="480" w:left="0"/>
        <w:jc w:val="both"/>
      </w:pPr>
      <w:r>
        <w:rPr>
          <w:rFonts w:ascii="Times New Roman" w:hAnsi="Times New Roman" w:eastAsia="宋体"/>
          <w:sz w:val="24"/>
        </w:rPr>
        <w:t>在工程基础校验方面，2026 年 3 月 22 日针对当前代码实际执行了 pnpm build、pnpm typecheck 和 pnpm lint 三项命令，结果均通过。其中 pnpm build 成功完成了 Next.js 生产构建，生成了包括 /orders、/orders/[id]、/users、/meta、/rules、/audit-logs、/rule-logs 以及全部 Route Handlers 在内的页面与接口产物；在构建完成后再次执行 pnpm typecheck 也顺利通过，说明当前仓库在生成 .next/types 后具备完整的类型检查能力；pnpm lint 通过则进一步表明代码规范层面未出现阻断性问题。</w:t>
      </w:r>
    </w:p>
    <w:p>
      <w:pPr>
        <w:spacing w:lineRule="exact" w:line="440" w:before="0" w:after="0"/>
        <w:ind w:firstLine="480" w:left="0"/>
        <w:jc w:val="both"/>
      </w:pPr>
      <w:r>
        <w:rPr>
          <w:rFonts w:ascii="Times New Roman" w:hAnsi="Times New Roman" w:eastAsia="宋体"/>
          <w:sz w:val="24"/>
        </w:rPr>
        <w:t>在功能层面，首先验证了登录和权限链路：未登录访问受保护页面会被 middleware 重定向到 /login，具备对应权限的用户能够进入 orders、users、meta、rules 等页面，不具备权限的用户则会进入 /forbidden。其次验证了订单业务链路：订单列表页能够完成筛选与批量动作，订单详情页能够执行审核通过、审核驳回、手工分仓、发货、锁单、解锁、标记异常、解除异常等动作，动作执行后会同步刷新订单数据和日志数据。</w:t>
      </w:r>
    </w:p>
    <w:p>
      <w:pPr>
        <w:spacing w:lineRule="exact" w:line="440" w:before="0" w:after="0"/>
        <w:ind w:firstLine="480" w:left="0"/>
        <w:jc w:val="both"/>
      </w:pPr>
      <w:r>
        <w:rPr>
          <w:rFonts w:ascii="Times New Roman" w:hAnsi="Times New Roman" w:eastAsia="宋体"/>
          <w:sz w:val="24"/>
        </w:rPr>
        <w:t>再次验证了低代码与规则治理链路：meta 页面能够完成实体、字段、页面配置的增删改查、版本发布、克隆、快照回滚和依赖分析；rules 页面能够完成规则定义维护、版本保存、克隆、发布、回滚、试运行和节点配置模板加载。最后验证了日志链路：audit-logs 页面能够查询登录、权限治理、订单动作和元数据治理事件，rule-logs 页面能够查询规则执行明细，并能看到规则命中后的输入摘要、输出摘要、执行状态与耗时。综合这些结果可以认为，论文范围内的核心功能已经在当前代码中形成可验证的实现闭环。</w:t>
      </w:r>
    </w:p>
    <w:p>
      <w:pPr>
        <w:pStyle w:val="5"/>
      </w:pPr>
      <w:r>
        <w:t>5.4.2 验收结果分析</w:t>
      </w:r>
    </w:p>
    <w:p>
      <w:pPr>
        <w:spacing w:lineRule="exact" w:line="440" w:before="0" w:after="0"/>
        <w:ind w:firstLine="480" w:left="0"/>
        <w:jc w:val="both"/>
      </w:pPr>
      <w:r>
        <w:rPr>
          <w:rFonts w:ascii="Times New Roman" w:hAnsi="Times New Roman" w:eastAsia="宋体"/>
          <w:sz w:val="24"/>
        </w:rPr>
        <w:t>从验收结果来看，系统已经达到论文原型阶段的主要目标。其一，系统完成了用户鉴权、订单处理、低代码治理、规则编排与日志追踪五大能力的集成，实现了从登录进入系统到执行订单动作、触发规则、写入日志、查看结果的完整流程。其二，系统不再只是演示页面集合，而是以数据库为中心完成了真实持久化、事务控制、版本治理和审计留痕，因此能够支撑论文对“系统设计与实现”的核心论证。其三，规则模块已经从单纯的可视化设计器提升为具有节点配置语义和业务联动能力的规则工作台，这一点构成了当前系统最有代表性的技术特色。</w:t>
      </w:r>
    </w:p>
    <w:p>
      <w:pPr>
        <w:spacing w:lineRule="exact" w:line="440" w:before="0" w:after="0"/>
        <w:ind w:firstLine="480" w:left="0"/>
        <w:jc w:val="both"/>
      </w:pPr>
      <w:r>
        <w:rPr>
          <w:rFonts w:ascii="Times New Roman" w:hAnsi="Times New Roman" w:eastAsia="宋体"/>
          <w:sz w:val="24"/>
        </w:rPr>
        <w:t>当然，从更接近生产系统的标准来看，当前系统仍保留若干待完善部分，例如低代码运行时动态渲染尚未完全补齐、订单导入导出与更复杂效率工具尚未完成、规则表达式库和多分支运行时仍可继续增强、用户治理细节和个人密码维护能力还需扩展。因此，本章的验收结论应理解为“已完成毕业设计原型系统的核心实现与验证”，而不是“已经完成全部业务场景和工程能力的终态交付”。这样的结论既符合当前代码实际情况，也为第六章总结与展望中的后续工作方向提供了清晰依据。</w:t>
      </w:r>
    </w:p>
    <w:p>
      <w:pPr>
        <w:spacing w:lineRule="exact" w:line="440" w:before="0" w:after="0"/>
        <w:ind w:firstLine="0" w:left="0"/>
        <w:jc w:val="left"/>
      </w:pPr>
      <w:r>
        <w:rPr>
          <w:rFonts w:ascii="Times New Roman" w:hAnsi="Times New Roman" w:eastAsia="宋体"/>
          <w:sz w:val="24"/>
        </w:rPr>
        <w:br w:type="page"/>
      </w:r>
    </w:p>
    <w:p w14:paraId="64096BB0">
      <w:pPr>
        <w:pStyle w:val="3"/>
      </w:pPr>
      <w:r>
        <w:rPr>
          <w:rFonts w:ascii="宋体" w:hAnsi="宋体" w:eastAsia="宋体"/>
          <w:b/>
          <w:color w:val="000000"/>
          <w:sz w:val="32"/>
        </w:rPr>
        <w:t>第6章 总结与展望</w:t>
      </w:r>
    </w:p>
    <w:p w14:paraId="2CAB74C3">
      <w:pPr>
        <w:spacing w:before="0" w:after="0" w:lineRule="exact" w:line="440"/>
        <w:ind w:firstLine="0"/>
        <w:jc w:val="left"/>
      </w:pPr>
      <w:r>
        <w:rPr>
          <w:rFonts w:ascii="Times New Roman" w:hAnsi="Times New Roman" w:eastAsia="宋体"/>
          <w:sz w:val="24"/>
        </w:rPr>
      </w:r>
    </w:p>
    <w:p w14:paraId="5E4BF1B3">
      <w:pPr>
        <w:pStyle w:val="4"/>
      </w:pPr>
      <w:r>
        <w:rPr>
          <w:rFonts w:ascii="宋体" w:hAnsi="宋体" w:eastAsia="宋体"/>
          <w:b/>
          <w:color w:val="000000"/>
          <w:sz w:val="28"/>
        </w:rPr>
        <w:t>6.1 工作总结</w:t>
      </w:r>
    </w:p>
    <w:p w14:paraId="7F9AD9C3">
      <w:pPr>
        <w:spacing w:before="0" w:after="0" w:lineRule="exact" w:line="440"/>
        <w:ind w:firstLine="480"/>
        <w:jc w:val="both"/>
      </w:pPr>
      <w:r>
        <w:rPr>
          <w:rFonts w:ascii="Times New Roman" w:hAnsi="Times New Roman" w:eastAsia="宋体"/>
          <w:sz w:val="24"/>
        </w:rPr>
        <w:t>本文围绕“面向中小电商的低代码订单管理系统”这一选题，结合订单履约场景中频繁存在的业务差异化、流程规则变化快和人工处理成本高等问题，完成了从需求分析、总体设计、关键技术研究到系统实现与阶段性验证的完整工作。论文在前文中先对低代码平台、规则编排、权限控制和元数据治理等相关技术进行了梳理，再基于项目目标给出了系统架构、数据模型、模块划分与实现方案，最终形成了一个以订单管理为核心、以配置驱动和规则联动为特色的原型系统。</w:t>
      </w:r>
    </w:p>
    <w:p>
      <w:pPr>
        <w:spacing w:lineRule="exact" w:line="440" w:before="0" w:after="0"/>
        <w:ind w:firstLine="480"/>
        <w:jc w:val="both"/>
      </w:pPr>
      <w:r>
        <w:rPr>
          <w:rFonts w:ascii="Times New Roman" w:hAnsi="Times New Roman" w:eastAsia="宋体"/>
          <w:sz w:val="24"/>
        </w:rPr>
        <w:t>从当前实现结果来看，系统已经完成登录鉴权、订单列表与详情、用户权限管理、低代码配置治理、规则工作台、规则执行日志与审计日志等主要模块，并在真实数据库环境下验证了核心页面访问、关键动作落库和基础构建流程。相较于仅停留在原型图或概念设计阶段的毕业设计项目，本文工作的价值在于把研究设想进一步落实为可登录、可配置、可执行、可追踪的运行系统，为后续案例验证和功能深化提供了可靠基础。</w:t>
      </w:r>
    </w:p>
    <w:p w14:paraId="19B3833D">
      <w:pPr>
        <w:pStyle w:val="4"/>
      </w:pPr>
      <w:r>
        <w:rPr>
          <w:rFonts w:ascii="宋体" w:hAnsi="宋体" w:eastAsia="宋体"/>
          <w:b/>
          <w:color w:val="000000"/>
          <w:sz w:val="28"/>
        </w:rPr>
        <w:t>6.2 主要成果与创新点</w:t>
      </w:r>
    </w:p>
    <w:p w14:paraId="0DA821C0">
      <w:pPr>
        <w:spacing w:before="0" w:after="0" w:lineRule="exact" w:line="440"/>
        <w:ind w:firstLine="480"/>
        <w:jc w:val="both"/>
      </w:pPr>
      <w:r>
        <w:rPr>
          <w:rFonts w:ascii="Times New Roman" w:hAnsi="Times New Roman" w:eastAsia="宋体"/>
          <w:sz w:val="24"/>
        </w:rPr>
        <w:t>本文的主要成果体现在三个方面。第一，围绕中小电商订单场景构建了较完整的业务原型，打通了用户与权限、订单处理、低代码配置、规则编排和日志追踪之间的核心关系，使系统能够在统一技术栈下完成业务展示、动作处理和数据留痕。第二，基于 PostgreSQL、Prisma 和结构化元数据设计，实现了实体、字段、页面三级配置对象的增删改查、版本治理、快照回滚和依赖分析，为低代码能力从“可配置”走向“可治理”提供了实现基础。第三，在规则模块中完成了从可视化设计、版本发布、试运行，到订单动作场景触发、结果写库和命中追踪的阶段性闭环，使规则系统不再只是独立工具，而是开始参与真实业务处理。</w:t>
      </w:r>
    </w:p>
    <w:p>
      <w:pPr>
        <w:spacing w:lineRule="exact" w:line="440" w:before="0" w:after="0"/>
        <w:ind w:firstLine="480"/>
        <w:jc w:val="both"/>
      </w:pPr>
      <w:r>
        <w:rPr>
          <w:rFonts w:ascii="Times New Roman" w:hAnsi="Times New Roman" w:eastAsia="宋体"/>
          <w:sz w:val="24"/>
        </w:rPr>
        <w:t>本文的创新点主要体现在面向订单场景的集成式实现思路上。与传统仅关注订单后台页面开发的方案相比，本文将元数据配置平台与可视化规则编排能力同时纳入系统架构，通过统一的会话权限模型、统一的数据持久层和统一的日志追踪链路，把页面配置、业务动作和规则执行纳入同一平台治理范围。此外，系统采用“页面治理先行、运行时逐步补齐”和“规则试运行先行、业务联动渐进增强”的实现策略，在保证项目可落地的前提下兼顾了系统扩展性与论文研究价值，这也是本课题相对于普通后台管理系统实现的一个重要特色。</w:t>
      </w:r>
    </w:p>
    <w:p w14:paraId="7FD0CF44">
      <w:pPr>
        <w:pStyle w:val="4"/>
      </w:pPr>
      <w:r>
        <w:rPr>
          <w:rFonts w:ascii="宋体" w:hAnsi="宋体" w:eastAsia="宋体"/>
          <w:b/>
          <w:color w:val="000000"/>
          <w:sz w:val="28"/>
        </w:rPr>
        <w:t>6.3 不足与展望</w:t>
      </w:r>
    </w:p>
    <w:p>
      <w:pPr>
        <w:spacing w:lineRule="exact" w:line="440" w:before="0" w:after="0"/>
        <w:ind w:firstLine="480"/>
        <w:jc w:val="both"/>
      </w:pPr>
      <w:r>
        <w:rPr>
          <w:rFonts w:ascii="Times New Roman" w:hAnsi="Times New Roman" w:eastAsia="宋体"/>
          <w:sz w:val="24"/>
        </w:rPr>
        <w:t>尽管本文已经完成了系统原型的核心设计与主要模块实现，但从更高标准来看，项目仍存在一些不足。首先，低代码模块目前更偏向配置治理，运行时动态渲染、配置差异对比、跨对象依赖拓扑和批量发布能力尚未完全补齐；其次，规则引擎虽然已经形成试运行和订单动作联动闭环，但复杂条件表达式、多分支运行时、节点语义细化和结果可解释性展示仍有提升空间；再次，订单导入导出、批量结果回显、个人密码维护、细粒度角色治理等后台效率能力还需要继续完善。</w:t>
      </w:r>
    </w:p>
    <w:p>
      <w:pPr>
        <w:spacing w:lineRule="exact" w:line="440" w:before="0" w:after="0"/>
        <w:ind w:firstLine="480"/>
        <w:jc w:val="both"/>
      </w:pPr>
      <w:r>
        <w:rPr>
          <w:rFonts w:ascii="Times New Roman" w:hAnsi="Times New Roman" w:eastAsia="宋体"/>
          <w:sz w:val="24"/>
        </w:rPr>
        <w:t>后续工作可以沿四个方向展开。其一，继续完善低代码运行时渲染链路，使字段、页面和动作配置能够更直接地驱动订单列表、详情页和表单页生成。其二，增强规则引擎的表达能力与可解释性，补充更丰富的条件库、动作库、分支控制和调试信息展示。其三，围绕订单效率场景补齐导入导出、批量处理反馈、异常处理工作台和运营统计能力。其四，在系统逐步稳定后，再考虑接入第三方平台订单同步、物流接口、轻租户隔离和复杂审批流等扩展需求。通过这些迭代，系统有望在现有原型基础上进一步演进为更完整、更具实际应用价值的中后台业务平台。</w:t>
      </w:r>
    </w:p>
    <w:p w14:paraId="13776566">
      <w:pPr>
        <w:spacing w:before="0" w:after="0" w:lineRule="exact" w:line="440"/>
        <w:ind w:firstLine="0"/>
        <w:jc w:val="left"/>
      </w:pPr>
      <w:r>
        <w:rPr>
          <w:rFonts w:ascii="Times New Roman" w:hAnsi="Times New Roman" w:eastAsia="宋体"/>
          <w:sz w:val="24"/>
        </w:rPr>
      </w:r>
    </w:p>
    <w:p w14:paraId="2AC228C5">
      <w:pPr>
        <w:spacing w:before="0" w:after="0" w:lineRule="exact" w:line="440"/>
        <w:ind w:firstLine="0" w:left="0"/>
        <w:jc w:val="left"/>
      </w:pPr>
      <w:r>
        <w:rPr>
          <w:rFonts w:ascii="Times New Roman" w:hAnsi="Times New Roman" w:eastAsia="宋体"/>
          <w:sz w:val="24"/>
        </w:rPr>
        <w:br w:type="page"/>
      </w:r>
    </w:p>
    <w:p w14:paraId="1D4CF468">
      <w:pPr>
        <w:pStyle w:val="3"/>
      </w:pPr>
      <w:r>
        <w:rPr>
          <w:rFonts w:ascii="宋体" w:hAnsi="宋体" w:eastAsia="宋体"/>
          <w:b/>
          <w:color w:val="000000"/>
          <w:sz w:val="32"/>
        </w:rPr>
        <w:t>参考文献</w:t>
      </w:r>
    </w:p>
    <w:p w14:paraId="78279B6A">
      <w:pPr>
        <w:spacing w:before="0" w:after="0" w:line="440" w:lineRule="exact"/>
        <w:ind w:left="480" w:hanging="480"/>
        <w:jc w:val="both"/>
      </w:pPr>
      <w:r>
        <w:rPr>
          <w:rFonts w:ascii="Times New Roman" w:hAnsi="Times New Roman" w:eastAsia="宋体"/>
          <w:b w:val="0"/>
          <w:sz w:val="24"/>
        </w:rPr>
        <w:t>[1] Vercel. Project Structure[EB/OL]. https://nextjs.org/docs/app/getting-started/project-structure, 2026-03-22.</w:t>
      </w:r>
    </w:p>
    <w:p w14:paraId="386AA7AF">
      <w:pPr>
        <w:spacing w:before="0" w:after="0" w:line="440" w:lineRule="exact"/>
        <w:ind w:left="480" w:hanging="480"/>
        <w:jc w:val="both"/>
      </w:pPr>
      <w:r>
        <w:rPr>
          <w:rFonts w:ascii="Times New Roman" w:hAnsi="Times New Roman" w:eastAsia="宋体"/>
          <w:b w:val="0"/>
          <w:sz w:val="24"/>
        </w:rPr>
        <w:t>[2] Vercel. Route Handlers[EB/OL]. https://nextjs.org/docs/app/building-your-application/routing/route-handlers, 2026-03-22.</w:t>
      </w:r>
    </w:p>
    <w:p w14:paraId="4C3E8DCC">
      <w:pPr>
        <w:spacing w:before="0" w:after="0" w:line="440" w:lineRule="exact"/>
        <w:ind w:left="480" w:hanging="480"/>
        <w:jc w:val="both"/>
      </w:pPr>
      <w:r>
        <w:rPr>
          <w:rFonts w:ascii="Times New Roman" w:hAnsi="Times New Roman" w:eastAsia="宋体"/>
          <w:b w:val="0"/>
          <w:sz w:val="24"/>
        </w:rPr>
        <w:t>[3] Ant Design. Introduce[EB/OL]. https://ant.design/docs/spec/introduce, 2026-03-22.</w:t>
      </w:r>
    </w:p>
    <w:p w14:paraId="343C48D5">
      <w:pPr>
        <w:spacing w:before="0" w:after="0" w:line="440" w:lineRule="exact"/>
        <w:ind w:left="480" w:hanging="480"/>
        <w:jc w:val="both"/>
      </w:pPr>
      <w:r>
        <w:rPr>
          <w:rFonts w:ascii="Times New Roman" w:hAnsi="Times New Roman" w:eastAsia="宋体"/>
          <w:b w:val="0"/>
          <w:sz w:val="24"/>
        </w:rPr>
        <w:t>[4] ant-design. ProComponents[EB/OL]. https://github.com/ant-design/pro-components, 2026-03-22.</w:t>
      </w:r>
    </w:p>
    <w:p w14:paraId="7925E0DF">
      <w:pPr>
        <w:spacing w:before="0" w:after="0" w:line="440" w:lineRule="exact"/>
        <w:ind w:left="480" w:hanging="480"/>
        <w:jc w:val="both"/>
      </w:pPr>
      <w:r>
        <w:rPr>
          <w:rFonts w:ascii="Times New Roman" w:hAnsi="Times New Roman" w:eastAsia="宋体"/>
          <w:b w:val="0"/>
          <w:sz w:val="24"/>
        </w:rPr>
        <w:t>[5] xyflow. React Flow[EB/OL]. https://reactflow.dev/, 2026-03-22.</w:t>
      </w:r>
    </w:p>
    <w:p w14:paraId="787185C0">
      <w:pPr>
        <w:spacing w:before="0" w:after="0" w:line="440" w:lineRule="exact"/>
        <w:ind w:left="480" w:hanging="480"/>
        <w:jc w:val="both"/>
      </w:pPr>
      <w:r>
        <w:rPr>
          <w:rFonts w:ascii="Times New Roman" w:hAnsi="Times New Roman" w:eastAsia="宋体"/>
          <w:b w:val="0"/>
          <w:sz w:val="24"/>
        </w:rPr>
        <w:t>[6] Supabase. Database[EB/OL]. https://supabase.com/docs/guides/database/overview, 2026-03-22.</w:t>
      </w:r>
    </w:p>
    <w:p w14:paraId="014C7D7B">
      <w:pPr>
        <w:spacing w:before="0" w:after="0" w:line="440" w:lineRule="exact"/>
        <w:ind w:left="480" w:hanging="480"/>
        <w:jc w:val="both"/>
      </w:pPr>
      <w:r>
        <w:rPr>
          <w:rFonts w:ascii="Times New Roman" w:hAnsi="Times New Roman" w:eastAsia="宋体"/>
          <w:b w:val="0"/>
          <w:sz w:val="24"/>
        </w:rPr>
        <w:t>[7] Supabase. Managing JSON and unstructured data[EB/OL]. https://supabase.com/docs/guides/database/json, 2026-03-22.</w:t>
      </w:r>
    </w:p>
    <w:p w14:paraId="22BAEA8C">
      <w:pPr>
        <w:spacing w:before="0" w:after="0" w:line="440" w:lineRule="exact"/>
        <w:ind w:left="480" w:hanging="480"/>
        <w:jc w:val="both"/>
      </w:pPr>
      <w:r>
        <w:rPr>
          <w:rFonts w:ascii="Times New Roman" w:hAnsi="Times New Roman" w:eastAsia="宋体"/>
          <w:b w:val="0"/>
          <w:sz w:val="24"/>
        </w:rPr>
        <w:t>[8] Prisma. Prisma ORM[EB/OL]. https://www.prisma.io/docs/orm, 2026-03-22.</w:t>
      </w:r>
    </w:p>
    <w:p w14:paraId="714D3058">
      <w:pPr>
        <w:spacing w:before="0" w:after="0" w:line="440" w:lineRule="exact"/>
        <w:ind w:left="480" w:hanging="480"/>
        <w:jc w:val="both"/>
      </w:pPr>
      <w:r>
        <w:rPr>
          <w:rFonts w:ascii="Times New Roman" w:hAnsi="Times New Roman" w:eastAsia="宋体"/>
          <w:b w:val="0"/>
          <w:sz w:val="24"/>
        </w:rPr>
        <w:t>[9] Zod. Introduction[EB/OL]. https://zod.dev/, 2026-03-22.</w:t>
      </w:r>
    </w:p>
    <w:p w14:paraId="18CA10EB">
      <w:pPr>
        <w:spacing w:before="0" w:after="0" w:line="440" w:lineRule="exact"/>
        <w:ind w:left="480" w:hanging="480"/>
        <w:jc w:val="both"/>
      </w:pPr>
      <w:r>
        <w:rPr>
          <w:rFonts w:ascii="Times New Roman" w:hAnsi="Times New Roman" w:eastAsia="宋体"/>
          <w:b w:val="0"/>
          <w:sz w:val="24"/>
        </w:rPr>
        <w:t>[10] Bock A C, Frank U. Low-Code Platform[J]. Business &amp; Information Systems Engineering, 2021, 63(6): 733-740.</w:t>
      </w:r>
    </w:p>
    <w:p w14:paraId="494578AE">
      <w:pPr>
        <w:spacing w:before="0" w:after="0" w:line="440" w:lineRule="exact"/>
        <w:ind w:left="480" w:hanging="480"/>
        <w:jc w:val="both"/>
      </w:pPr>
      <w:r>
        <w:rPr>
          <w:rFonts w:ascii="Times New Roman" w:hAnsi="Times New Roman" w:eastAsia="宋体"/>
          <w:b w:val="0"/>
          <w:sz w:val="24"/>
        </w:rPr>
        <w:t>[11] Bucaioni A, Cicchetti A, Ciccozzi F. Modelling in low-code development: a multi-vocal systematic review[J]. Software and Systems Modeling, 2022, 21: 1959-1981.</w:t>
      </w:r>
    </w:p>
    <w:p w14:paraId="5FB383F3">
      <w:pPr>
        <w:spacing w:before="0" w:after="0" w:line="440" w:lineRule="exact"/>
        <w:ind w:left="480" w:hanging="480"/>
        <w:jc w:val="both"/>
      </w:pPr>
      <w:r>
        <w:rPr>
          <w:rFonts w:ascii="Times New Roman" w:hAnsi="Times New Roman" w:eastAsia="宋体"/>
          <w:b w:val="0"/>
          <w:sz w:val="24"/>
        </w:rPr>
        <w:t>[12] Kluza K, Nalepa G J. Formal Model of Business Processes Integrated with Business Rules[J]. Information Systems Frontiers, 2019, 21(5): 1167-1185.</w:t>
      </w:r>
    </w:p>
    <w:p w14:paraId="58642130">
      <w:pPr>
        <w:spacing w:before="0" w:after="0" w:line="440" w:lineRule="exact"/>
        <w:ind w:left="480" w:hanging="480"/>
        <w:jc w:val="both"/>
      </w:pPr>
      <w:r>
        <w:rPr>
          <w:rFonts w:ascii="Times New Roman" w:hAnsi="Times New Roman" w:eastAsia="宋体"/>
          <w:b w:val="0"/>
          <w:sz w:val="24"/>
        </w:rPr>
        <w:t>[13] DecisionRules. Product Overview[EB/OL]. https://www.decisionrules.io/en/product/overview/, 2026-03-22.</w:t>
      </w:r>
    </w:p>
    <w:p w14:paraId="327ABAAF">
      <w:pPr>
        <w:spacing w:before="0" w:after="0" w:line="440" w:lineRule="exact"/>
        <w:ind w:left="480" w:hanging="480"/>
        <w:jc w:val="both"/>
      </w:pPr>
      <w:r>
        <w:rPr>
          <w:rFonts w:ascii="Times New Roman" w:hAnsi="Times New Roman" w:eastAsia="宋体"/>
          <w:b w:val="0"/>
          <w:sz w:val="24"/>
        </w:rPr>
        <w:t>[14] DecisionRules. Versioning[EB/OL]. https://docs.decisionrules.io/doc/rules/common-rule-features/versioning, 2026-03-22.</w:t>
      </w:r>
    </w:p>
    <w:p w14:paraId="2AC769E2">
      <w:pPr>
        <w:spacing w:before="0" w:after="0" w:line="440" w:lineRule="exact"/>
        <w:ind w:left="480" w:hanging="480"/>
        <w:jc w:val="both"/>
      </w:pPr>
      <w:r>
        <w:rPr>
          <w:rFonts w:ascii="Times New Roman" w:hAnsi="Times New Roman" w:eastAsia="宋体"/>
          <w:b w:val="0"/>
          <w:sz w:val="24"/>
        </w:rPr>
        <w:t>[15] DecisionRules. Event Logs[EB/OL]. https://docs.decisionrules.io/doc/space/event-logs, 2026-03-22.</w:t>
      </w:r>
    </w:p>
    <w:p w14:paraId="268CCDCC">
      <w:pPr>
        <w:pStyle w:val="3"/>
      </w:pPr>
      <w:r>
        <w:rPr>
          <w:rFonts w:ascii="宋体" w:hAnsi="宋体" w:eastAsia="宋体"/>
          <w:b/>
          <w:color w:val="000000"/>
          <w:sz w:val="32"/>
        </w:rPr>
        <w:t>致谢</w:t>
      </w:r>
    </w:p>
    <w:p w14:paraId="392F9D71">
      <w:pPr>
        <w:spacing w:before="0" w:after="0"/>
      </w:pPr>
    </w:p>
    <w:sectPr>
      <w:pgSz w:w="12240" w:h="15840"/>
      <w:pgMar w:top="1440" w:right="1417" w:bottom="1440"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DFCAAC7"/>
    <w:rsid w:val="3FFD0C40"/>
    <w:rsid w:val="507DC1CC"/>
    <w:rsid w:val="5E7F9973"/>
    <w:rsid w:val="F3DF9A9C"/>
    <w:rsid w:val="F6EBC5F7"/>
    <w:rsid w:val="F7BDA6C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32"/>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0</Words>
  <Characters>0</Characters>
  <Lines>0</Lines>
  <Paragraphs>0</Paragraphs>
  <TotalTime>33</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kon</cp:lastModifiedBy>
  <dcterms:modified xsi:type="dcterms:W3CDTF">2026-03-22T20:00:27Z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61A29510E6AFBB25DBCBBF6968A7883D_42</vt:lpwstr>
  </property>
</Properties>
</file>