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d464d"/>
          <w:sz w:val="16"/>
          <w:szCs w:val="16"/>
          <w:shd w:fill="f7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16"/>
          <w:szCs w:val="16"/>
          <w:shd w:fill="f7f9fa" w:val="clear"/>
          <w:rtl w:val="0"/>
        </w:rPr>
        <w:t xml:space="preserve">b)Apresente os comandos que criam as tabelas, os usuários e definem as permissõesdescritas. Documente os comandos (ou blocos dos códigos) com comentários coesos epertinentes.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d464d"/>
          <w:sz w:val="16"/>
          <w:szCs w:val="16"/>
          <w:shd w:fill="f7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16"/>
          <w:szCs w:val="16"/>
          <w:shd w:fill="f7f9fa" w:val="clear"/>
          <w:rtl w:val="0"/>
        </w:rPr>
        <w:t xml:space="preserve">(c)Insira poucos registros nas tabelas e demonstre pelo menos duas operações que não sãopermitidas, resultando em erros (por exemplo: o vendedor tentar excluir um cliente).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d464d"/>
          <w:sz w:val="16"/>
          <w:szCs w:val="16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EStá correto, o comando remove o privilégia da 'maria' de fazer o update no schema.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comando 'GRANT INSERT ON Vendedor TO chefe' dá privilégio "Insert" para o usuário "Chefe" no banco de dados "Vendedor".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03: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B.CREATE DATABASE vendas CHARSET latin1 COLLATE latin1_general_cs;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cliente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ID_CLIENTE INT PRIMARY KEY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NOM_CLIENTE VARCHAR(20) NOT NULL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produto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NUM_PRODUTO INT PRIMARY KEY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NOM_PRODUTO VARCHAR(20) NOT NULL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pedido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NUM_PEDIDO INT PRIMARY KEY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