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A5128" w:rsidRDefault="005D353F" w:rsidP="005D353F">
            <w:pPr>
              <w:rPr>
                <w:lang w:val="en-US"/>
              </w:rPr>
            </w:pPr>
            <w:r w:rsidRPr="00DA5128">
              <w:rPr>
                <w:rFonts w:ascii="Calibri" w:hAnsi="Calibri" w:cs="Calibri"/>
                <w:sz w:val="20"/>
                <w:szCs w:val="20"/>
                <w:lang w:val="en-US"/>
              </w:rPr>
              <w:t>{ table:48}[</w:t>
            </w:r>
            <w:proofErr w:type="spellStart"/>
            <w:r w:rsidRPr="00DA5128">
              <w:rPr>
                <w:rFonts w:ascii="Calibri" w:hAnsi="Calibri" w:cs="Calibri"/>
                <w:sz w:val="20"/>
                <w:szCs w:val="20"/>
                <w:lang w:val="en-US"/>
              </w:rPr>
              <w:t>onshow;block</w:t>
            </w:r>
            <w:proofErr w:type="spellEnd"/>
            <w:r w:rsidRPr="00DA5128">
              <w:rPr>
                <w:rFonts w:ascii="Calibri" w:hAnsi="Calibri" w:cs="Calibri"/>
                <w:sz w:val="20"/>
                <w:szCs w:val="20"/>
                <w:lang w:val="en-US"/>
              </w:rPr>
              <w:t>=</w:t>
            </w:r>
            <w:proofErr w:type="spellStart"/>
            <w:r w:rsidRPr="00DA5128">
              <w:rPr>
                <w:rFonts w:ascii="Calibri" w:hAnsi="Calibri" w:cs="Calibri"/>
                <w:sz w:val="20"/>
                <w:szCs w:val="20"/>
                <w:lang w:val="en-US"/>
              </w:rPr>
              <w:t>tbs:p;when</w:t>
            </w:r>
            <w:proofErr w:type="spellEnd"/>
            <w:r w:rsidRPr="00DA5128">
              <w:rPr>
                <w:rFonts w:ascii="Calibri" w:hAnsi="Calibri" w:cs="Calibri"/>
                <w:sz w:val="20"/>
                <w:szCs w:val="20"/>
                <w:lang w:val="en-US"/>
              </w:rPr>
              <w:t xml:space="preserve"> [</w:t>
            </w:r>
            <w:proofErr w:type="spellStart"/>
            <w:r w:rsidRPr="00DA5128">
              <w:rPr>
                <w:rFonts w:ascii="Calibri" w:hAnsi="Calibri" w:cs="Calibri"/>
                <w:sz w:val="20"/>
                <w:szCs w:val="20"/>
                <w:lang w:val="en-US"/>
              </w:rPr>
              <w:t>var.x_delete</w:t>
            </w:r>
            <w:proofErr w:type="spellEnd"/>
            <w:r w:rsidRPr="00DA5128">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Pr="00AF68E6"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w:t>
      </w:r>
      <w:proofErr w:type="gramStart"/>
      <w:r w:rsidRPr="00AF68E6">
        <w:rPr>
          <w:rFonts w:ascii="Calibri" w:hAnsi="Calibri" w:cs="Calibri"/>
          <w:sz w:val="20"/>
          <w:szCs w:val="20"/>
          <w:highlight w:val="yellow"/>
          <w:lang w:val="en-US"/>
        </w:rPr>
        <w:t>onshow;</w:t>
      </w:r>
      <w:proofErr w:type="gramEnd"/>
      <w:r w:rsidRPr="00AF68E6">
        <w:rPr>
          <w:rFonts w:ascii="Calibri" w:hAnsi="Calibri" w:cs="Calibri"/>
          <w:sz w:val="20"/>
          <w:szCs w:val="20"/>
          <w:highlight w:val="yellow"/>
          <w:lang w:val="en-US"/>
        </w:rPr>
        <w:t>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D57947"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7309F6">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8F146E" w:rsidP="007309F6">
            <w:pPr>
              <w:jc w:val="center"/>
              <w:rPr>
                <w:rFonts w:asciiTheme="minorHAnsi" w:hAnsiTheme="minorHAnsi" w:cstheme="minorHAnsi"/>
                <w:b/>
                <w:bCs/>
                <w:caps/>
                <w:sz w:val="18"/>
                <w:szCs w:val="18"/>
                <w:lang w:val="en-US"/>
              </w:rPr>
            </w:pPr>
            <w:r w:rsidRPr="0049118D">
              <w:rPr>
                <w:rFonts w:ascii="Calibri" w:hAnsi="Calibri" w:cs="Calibri"/>
                <w:sz w:val="20"/>
                <w:szCs w:val="20"/>
                <w:lang w:val="en-US"/>
              </w:rPr>
              <w:t>{ table:7}[</w:t>
            </w:r>
            <w:proofErr w:type="spellStart"/>
            <w:r w:rsidRPr="0049118D">
              <w:rPr>
                <w:rFonts w:ascii="Calibri" w:hAnsi="Calibri" w:cs="Calibri"/>
                <w:sz w:val="20"/>
                <w:szCs w:val="20"/>
                <w:lang w:val="en-US"/>
              </w:rPr>
              <w:t>onshow;block</w:t>
            </w:r>
            <w:proofErr w:type="spellEnd"/>
            <w:r w:rsidRPr="0049118D">
              <w:rPr>
                <w:rFonts w:ascii="Calibri" w:hAnsi="Calibri" w:cs="Calibri"/>
                <w:sz w:val="20"/>
                <w:szCs w:val="20"/>
                <w:lang w:val="en-US"/>
              </w:rPr>
              <w:t>=</w:t>
            </w:r>
            <w:proofErr w:type="spellStart"/>
            <w:r w:rsidRPr="0049118D">
              <w:rPr>
                <w:rFonts w:ascii="Calibri" w:hAnsi="Calibri" w:cs="Calibri"/>
                <w:sz w:val="20"/>
                <w:szCs w:val="20"/>
                <w:lang w:val="en-US"/>
              </w:rPr>
              <w:t>tbs:p;when</w:t>
            </w:r>
            <w:proofErr w:type="spellEnd"/>
            <w:r w:rsidRPr="0049118D">
              <w:rPr>
                <w:rFonts w:ascii="Calibri" w:hAnsi="Calibri" w:cs="Calibri"/>
                <w:sz w:val="20"/>
                <w:szCs w:val="20"/>
                <w:lang w:val="en-US"/>
              </w:rPr>
              <w:t xml:space="preserve"> [</w:t>
            </w:r>
            <w:proofErr w:type="spellStart"/>
            <w:r w:rsidRPr="0049118D">
              <w:rPr>
                <w:rFonts w:ascii="Calibri" w:hAnsi="Calibri" w:cs="Calibri"/>
                <w:sz w:val="20"/>
                <w:szCs w:val="20"/>
                <w:lang w:val="en-US"/>
              </w:rPr>
              <w:t>var.x_delete</w:t>
            </w:r>
            <w:proofErr w:type="spellEnd"/>
            <w:r w:rsidRPr="0049118D">
              <w:rPr>
                <w:rFonts w:ascii="Calibri" w:hAnsi="Calibri" w:cs="Calibr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D57947" w:rsidRPr="0030348D" w:rsidTr="007309F6">
        <w:trPr>
          <w:trHeight w:val="1"/>
          <w:jc w:val="center"/>
        </w:trPr>
        <w:tc>
          <w:tcPr>
            <w:tcW w:w="1476"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r>
      <w:tr w:rsidR="00A47A12" w:rsidRPr="0030348D" w:rsidTr="00437B16">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r>
      <w:tr w:rsidR="00A47A12" w:rsidRPr="0030348D" w:rsidTr="007309F6">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7309F6">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7309F6">
            <w:pPr>
              <w:autoSpaceDE w:val="0"/>
              <w:autoSpaceDN w:val="0"/>
              <w:adjustRightInd w:val="0"/>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7309F6">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11060B" w:rsidRPr="002D2CC8" w:rsidRDefault="0011060B" w:rsidP="00A76A51">
      <w:pPr>
        <w:pStyle w:val="BodyText"/>
        <w:jc w:val="center"/>
        <w:rPr>
          <w:i/>
          <w:sz w:val="16"/>
          <w:szCs w:val="16"/>
        </w:rPr>
      </w:pPr>
      <w:bookmarkStart w:id="0" w:name="_GoBack"/>
      <w:bookmarkEnd w:id="0"/>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94E" w:rsidRDefault="00F9094E" w:rsidP="00553E5D">
      <w:r>
        <w:separator/>
      </w:r>
    </w:p>
  </w:endnote>
  <w:endnote w:type="continuationSeparator" w:id="0">
    <w:p w:rsidR="00F9094E" w:rsidRDefault="00F9094E"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D42C97" w:rsidRPr="00D42C97">
            <w:rPr>
              <w:noProof/>
              <w:color w:val="FFFFFF" w:themeColor="background1"/>
            </w:rPr>
            <w:t>4</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94E" w:rsidRDefault="00F9094E" w:rsidP="00553E5D">
      <w:r>
        <w:separator/>
      </w:r>
    </w:p>
  </w:footnote>
  <w:footnote w:type="continuationSeparator" w:id="0">
    <w:p w:rsidR="00F9094E" w:rsidRDefault="00F9094E"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94E"/>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4</Pages>
  <Words>1400</Words>
  <Characters>7703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51</cp:revision>
  <cp:lastPrinted>2014-06-05T11:21:00Z</cp:lastPrinted>
  <dcterms:created xsi:type="dcterms:W3CDTF">2014-06-11T10:27:00Z</dcterms:created>
  <dcterms:modified xsi:type="dcterms:W3CDTF">2015-05-16T21:18:00Z</dcterms:modified>
</cp:coreProperties>
</file>