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A plate that is blank the afternoon of treatment can still hide injured cells that grow in a recovery broth or during chilled storage.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2"/>
    <w:bookmarkStart w:id="26" w:name="methods"/>
    <w:p>
      <w:pPr>
        <w:pStyle w:val="Heading2"/>
        <w:jc w:val="left"/>
      </w:pPr>
      <w:r>
        <w:t xml:space="preserve">2. Methods</w:t>
      </w:r>
    </w:p>
    <w:bookmarkStart w:id="23"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3"/>
    <w:bookmarkStart w:id="24"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4"/>
    <w:bookmarkStart w:id="25"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5"/>
    <w:bookmarkEnd w:id="26"/>
    <w:bookmarkStart w:id="27"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 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Freezing is therefore not a footnote: it changes the physics (ice polymorphs, cell rigidity) enough to turn a mild cycle into a pasteurisation-scale kill for a surrogate organism. It also moves the process out of</w:t>
      </w:r>
      <w:r>
        <w:t xml:space="preserve"> </w:t>
      </w:r>
      <w:r>
        <w:t xml:space="preserve">“</w:t>
      </w:r>
      <w:r>
        <w:t xml:space="preserve">HPP only.</w:t>
      </w:r>
      <w:r>
        <w:t xml:space="preserve">”</w:t>
      </w:r>
    </w:p>
    <w:p>
      <w:pPr>
        <w:pStyle w:val="BodyText"/>
        <w:jc w:val="both"/>
      </w:pPr>
      <w:r>
        <w:rPr>
          <w:iCs/>
          <w:i/>
        </w:rPr>
        <w:t xml:space="preserve">L. monocytogenes</w:t>
      </w:r>
      <w:r>
        <w:t xml:space="preserve"> </w:t>
      </w:r>
      <w:r>
        <w:t xml:space="preserve">illustrates strain and solute dependence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p>
      <w:pPr>
        <w:pStyle w:val="BodyText"/>
        <w:jc w:val="both"/>
      </w:pPr>
      <w:r>
        <w:t xml:space="preserve">Enumeration can manufacture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everything else (ice, lactate, fat, °Brix, agar, strain cocktail) is a coefficient, not noise [2,5,11,16,20]. The same rule forbids reading a 5-log claim off a pressure gauge.</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27"/>
    <w:bookmarkStart w:id="28" w:name="X09e85f5f8097e57f0ab71c74158db7cf98c1fcb"/>
    <w:p>
      <w:pPr>
        <w:pStyle w:val="Heading2"/>
        <w:jc w:val="left"/>
      </w:pPr>
      <w:r>
        <w:t xml:space="preserve">4. Pasteurisation performance criteria for milk and juices</w:t>
      </w:r>
    </w:p>
    <w:p>
      <w:pPr>
        <w:pStyle w:val="FirstParagraph"/>
        <w:jc w:val="both"/>
      </w:pPr>
      <w:r>
        <w:t xml:space="preserve">A pasteurisation claim is a comparison to a legal or HACCP number, not a comparison to an untreated control. For milk, EFSA treated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does not verify HPP the way it verifies heat [2].</w:t>
      </w:r>
    </w:p>
    <w:p>
      <w:pPr>
        <w:pStyle w:val="BodyText"/>
        <w:jc w:val="both"/>
      </w:pPr>
      <w:r>
        <w:t xml:space="preserve">The systematic review of raw bovine milk HPP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That is the optimisation hole: a cycle mild enough to keep immunoglobulin G and lactoferrin is not automatically a 5-log pathogen cycle, and the experiments that would show both on the same batch are scarce [24]. A paired high-temperature short-time versus HPP bovine-milk trial that reports both endpoints on the same batches is not among the included studies.</w:t>
      </w:r>
    </w:p>
    <w:p>
      <w:pPr>
        <w:pStyle w:val="BodyText"/>
        <w:jc w:val="both"/>
      </w:pPr>
      <w:r>
        <w:t xml:space="preserve">Narrative dairy reviews still write that 400–600 MPa is</w:t>
      </w:r>
      <w:r>
        <w:t xml:space="preserve"> </w:t>
      </w:r>
      <w:r>
        <w:t xml:space="preserve">“</w:t>
      </w:r>
      <w:r>
        <w:t xml:space="preserve">sufficient</w:t>
      </w:r>
      <w:r>
        <w:t xml:space="preserve">”</w:t>
      </w:r>
      <w:r>
        <w:t xml:space="preserve"> </w:t>
      </w:r>
      <w:r>
        <w:t xml:space="preserve">for microbial control [25] and that ultrasound, pulsed electric fields, and supercritical carbon dioxide are promising dairy tools [26]. Those sentences compile selected rows; they do not rebut the EFSA model. Table 2 marks the difference.</w:t>
      </w:r>
    </w:p>
    <w:p>
      <w:pPr>
        <w:pStyle w:val="BodyText"/>
        <w:jc w:val="both"/>
      </w:pPr>
      <w:r>
        <w:t xml:space="preserve">Dairy experiments in this sample are consistent with</w:t>
      </w:r>
      <w:r>
        <w:t xml:space="preserve"> </w:t>
      </w:r>
      <w:r>
        <w:t xml:space="preserve">“</w:t>
      </w:r>
      <w:r>
        <w:t xml:space="preserve">pressure helps, equivalence is not shown.</w:t>
      </w:r>
      <w:r>
        <w:t xml:space="preserve">”</w:t>
      </w:r>
      <w:r>
        <w:t xml:space="preserve"> </w:t>
      </w:r>
      <w:r>
        <w:t xml:space="preserve">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Preferring the results section, 400 MPa is closer to a quality-preserving pasteurisation analogue than 500 MPa is, and neither is a pathogen challenge [7].</w:t>
      </w:r>
    </w:p>
    <w:p>
      <w:pPr>
        <w:pStyle w:val="BodyText"/>
        <w:jc w:val="both"/>
      </w:pPr>
      <w:r>
        <w:t xml:space="preserve">Juices and purées look kinder to HPP because low pH already suppresses many pathogens, but the 5-log juice rule is still organism-specific.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benchmarks, not of</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28"/>
    <w:bookmarkStart w:id="29" w:name="X1a595b75cf3b7d258bcde921bd6ea64d0ece587"/>
    <w:p>
      <w:pPr>
        <w:pStyle w:val="Heading2"/>
        <w:jc w:val="left"/>
      </w:pPr>
      <w:r>
        <w:t xml:space="preserve">5. Spores, heat under pressure, and combined hurdles</w:t>
      </w:r>
    </w:p>
    <w:p>
      <w:pPr>
        <w:pStyle w:val="FirstParagraph"/>
        <w:jc w:val="both"/>
      </w:pPr>
      <w:r>
        <w:t xml:space="preserve">Industrial HPP at ambient or chill temperature is a pasteurisation technology for vegetative cells. It is not a botulinum cook. Reviews of fruit and vegetable kinetics state that pressures below 600 MPa at room temperature struggle with bacterial spores, and that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refrigerated distribution is the practical control on spore outgrowth [4].</w:t>
      </w:r>
    </w:p>
    <w:p>
      <w:pPr>
        <w:pStyle w:val="BodyText"/>
        <w:jc w:val="both"/>
      </w:pPr>
      <w:r>
        <w:t xml:space="preserve">Houska 2022 compiles those industrial constraints with kinetic parameters rather than with a new challenge trial [4]. Kinetic form matters as much as the mean log.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Honey is a warning about water activity.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p>
      <w:pPr>
        <w:pStyle w:val="BodyText"/>
        <w:jc w:val="both"/>
      </w:pPr>
      <w:r>
        <w:t xml:space="preserve">Hurdles other than bulk heat try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29"/>
    <w:bookmarkStart w:id="30" w:name="X133eb1bf8b84f887a8f1360a206e858b48f1464"/>
    <w:p>
      <w:pPr>
        <w:pStyle w:val="Heading2"/>
        <w:jc w:val="left"/>
      </w:pPr>
      <w:r>
        <w:t xml:space="preserve">6. Quality endpoints that do not move with plate counts</w:t>
      </w:r>
    </w:p>
    <w:p>
      <w:pPr>
        <w:pStyle w:val="FirstParagraph"/>
        <w:jc w:val="both"/>
      </w:pPr>
      <w:r>
        <w:t xml:space="preserve">If HPP is sold as</w:t>
      </w:r>
      <w:r>
        <w:t xml:space="preserve"> </w:t>
      </w:r>
      <w:r>
        <w:t xml:space="preserve">“</w:t>
      </w:r>
      <w:r>
        <w:t xml:space="preserve">fresh-like,</w:t>
      </w:r>
      <w:r>
        <w:t xml:space="preserve">”</w:t>
      </w:r>
      <w:r>
        <w:t xml:space="preserve"> </w:t>
      </w:r>
      <w:r>
        <w:t xml:space="preserve">the endpoint must be named. 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w:t>
      </w:r>
    </w:p>
    <w:p>
      <w:pPr>
        <w:pStyle w:val="BodyText"/>
        <w:jc w:val="both"/>
      </w:pPr>
      <w:r>
        <w:t xml:space="preserve">Proteins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Milk bioactive proteins are the regulatory twin of section 4: holding IgG and lactoferrin is the reason to prefer HPP over Holder or high-temperature short-time in some human-milk and bovine-milk arguments, but Sykora’s four overlap papers are not enough to set a dual specification [24]. Donkey milk shows the trade in one factorial: 500 MPa maximised aerobic kill and maximised lactoferrin activity loss [7].</w:t>
      </w:r>
    </w:p>
    <w:p>
      <w:pPr>
        <w:pStyle w:val="BodyText"/>
        <w:jc w:val="both"/>
      </w:pPr>
      <w:r>
        <w:t xml:space="preserve">Texture can fail while safety succeeds.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p>
      <w:pPr>
        <w:pStyle w:val="BodyText"/>
        <w:jc w:val="both"/>
      </w:pPr>
      <w:r>
        <w:t xml:space="preserve">Seafood storage trials are mostly spoilage ecology, not pathogen HACCP. Salmon and plaice fillets after HPP kept Enterobacteriaceae, mesophiles, psychrotrophs, and</w:t>
      </w:r>
      <w:r>
        <w:t xml:space="preserve"> </w:t>
      </w:r>
      <w:r>
        <w:rPr>
          <w:iCs/>
          <w:i/>
        </w:rPr>
        <w:t xml:space="preserve">Pseudomonas</w:t>
      </w:r>
      <w:r>
        <w:t xml:space="preserve"> </w:t>
      </w:r>
      <w:r>
        <w:t xml:space="preserve">lower at every sampling day and remained microbiologically acceptable to day 12, with histamine remaining low [33]. Mackerel fish balls at 250–350 MPa started &lt;1 log CFU/g versus about 2.2 in controls and stayed down for 7 days at 4 °C, comparable to 121 °C retort on counts but not on a cooked texture [34]. Squid mantle with mint extract plus 400 MPa delayed total viable count relative to pressure or extract alone; several treatments still crossed a TVC limit by day 6 without the mint [35]. Precooked crab needed 300 MPa more than 100 MPa to move</w:t>
      </w:r>
      <w:r>
        <w:t xml:space="preserve"> </w:t>
      </w:r>
      <w:r>
        <w:rPr>
          <w:iCs/>
          <w:i/>
        </w:rPr>
        <w:t xml:space="preserve">Vibrio</w:t>
      </w:r>
      <w:r>
        <w:t xml:space="preserve"> </w:t>
      </w:r>
      <w:r>
        <w:t xml:space="preserve">and hydrogen-sulphide producers [23].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surface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w:t>
      </w:r>
    </w:p>
    <w:p>
      <w:pPr>
        <w:pStyle w:val="BodyText"/>
        <w:jc w:val="both"/>
      </w:pPr>
      <w:r>
        <w:t xml:space="preserve">Fermented and formulated drinks add a further twist: ultrasound-assisted ultra-high pressure changed antioxidant readings and sugar consumption in a lactic fermentation at 24–40 h [39]. That is process intensification of a ferment, not pasteurisation of a pathogen.</w:t>
      </w:r>
    </w:p>
    <w:p>
      <w:pPr>
        <w:pStyle w:val="BodyText"/>
        <w:jc w:val="both"/>
      </w:pPr>
      <w:r>
        <w:t xml:space="preserve">Seafood numbers in the included trials are mostly spoilage ecology. They still earn a place because RTE fish is a commercial HPP category and because histamine,</w:t>
      </w:r>
      <w:r>
        <w:t xml:space="preserve"> </w:t>
      </w:r>
      <w:r>
        <w:rPr>
          <w:iCs/>
          <w:i/>
        </w:rPr>
        <w:t xml:space="preserve">Vibrio</w:t>
      </w:r>
      <w:r>
        <w:t xml:space="preserve">, and</w:t>
      </w:r>
      <w:r>
        <w:t xml:space="preserve"> </w:t>
      </w:r>
      <w:r>
        <w:rPr>
          <w:iCs/>
          <w:i/>
        </w:rPr>
        <w:t xml:space="preserve">Pseudomonas</w:t>
      </w:r>
      <w:r>
        <w:t xml:space="preserve"> </w:t>
      </w:r>
      <w:r>
        <w:t xml:space="preserve">are the practical failures, not a 5-log</w:t>
      </w:r>
      <w:r>
        <w:t xml:space="preserve"> </w:t>
      </w:r>
      <w:r>
        <w:rPr>
          <w:iCs/>
          <w:i/>
        </w:rPr>
        <w:t xml:space="preserve">Salmonella</w:t>
      </w:r>
      <w:r>
        <w:t xml:space="preserve"> </w:t>
      </w:r>
      <w:r>
        <w:t xml:space="preserve">graph. Castrica’s dual-species fillet trial is the cleanest storage design: treated packs stayed acceptable to day 12 while untreated flora ran ahead, and histamine stayed low [33]. Wang’s fish balls compare 250–350 MPa with a 121 °C cook on the same product; counts can look similar at day 7 while the thermal product is a different food [34]. Nilsuwan’s mint-plus-pressure squid is a hurdle in the quality section rather than in section 5 because the extra kill is modest and the benefit is days of TVC delay [35]. Crab at 100 MPa barely moved APC; 300 MPa was the step that changed</w:t>
      </w:r>
      <w:r>
        <w:t xml:space="preserve"> </w:t>
      </w:r>
      <w:r>
        <w:rPr>
          <w:iCs/>
          <w:i/>
        </w:rPr>
        <w:t xml:space="preserve">Vibrio</w:t>
      </w:r>
      <w:r>
        <w:t xml:space="preserve"> </w:t>
      </w:r>
      <w:r>
        <w:t xml:space="preserve">[23]. Lian’s carbon-dioxide process is not HPP, but it shows the same buffer-versus-surface gap that plasma shows on lettuce [18,36]. Pérez Alcalá’s sous-vide plus pressure trial is a refrigerated RTE logic: controls crossed 5 log while pressurised packs stayed near the detection floor for weeks [37]. González-Cantillo’s burger cycles (one long hold versus two shorts) both dropped</w:t>
      </w:r>
      <w:r>
        <w:t xml:space="preserve"> </w:t>
      </w:r>
      <w:r>
        <w:rPr>
          <w:iCs/>
          <w:i/>
        </w:rPr>
        <w:t xml:space="preserve">E. coli</w:t>
      </w:r>
      <w:r>
        <w:t xml:space="preserve"> </w:t>
      </w:r>
      <w:r>
        <w:t xml:space="preserve">below 1 log, so cycle architecture was not the dominant factor in that matrix [22].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 Peng’s aquatic UHP review is the narrative envelope for those rows, not an extra dataset [38].</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w:t>
      </w:r>
    </w:p>
    <w:bookmarkEnd w:id="30"/>
    <w:bookmarkStart w:id="31" w:name="Xb73d360ba1df154002128c4af4d324a7ae4301c"/>
    <w:p>
      <w:pPr>
        <w:pStyle w:val="Heading2"/>
        <w:jc w:val="left"/>
      </w:pPr>
      <w:r>
        <w:t xml:space="preserve">7. Other nonthermal fields in the same literature</w:t>
      </w:r>
    </w:p>
    <w:p>
      <w:pPr>
        <w:pStyle w:val="FirstParagraph"/>
        <w:jc w:val="both"/>
      </w:pPr>
      <w:r>
        <w:t xml:space="preserve">The included studies are HPP-heavy. Other fields appear as supporting technologies, not as a balanced map. Ultrasound in apple juice at reduced temperature, with dual-frequency excitation and a Venturi,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Keeping those papers in section 7 rather than folding them into Tables 1–2 avoids mixing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31"/>
    <w:bookmarkStart w:id="32" w:name="discussion"/>
    <w:p>
      <w:pPr>
        <w:pStyle w:val="Heading2"/>
        <w:jc w:val="left"/>
      </w:pPr>
      <w:r>
        <w:t xml:space="preserve">Discussion</w:t>
      </w:r>
    </w:p>
    <w:p>
      <w:pPr>
        <w:pStyle w:val="FirstParagraph"/>
        <w:jc w:val="both"/>
      </w:pPr>
      <w:r>
        <w:t xml:space="preserve">Two readings of HPP can both be true. The first is commercial: for refrigerated juices, guacamole-style herb pastes, and post-lethality RTE meats, 500–600 MPa for a few minutes is a vegetative pasteurisation that avoids a second cook, and industry already uses it [4,5]. The second is regulatory: for milk, the same window is not equivalent to legal pasteurisation on EFSA’s comparison, indicator enzymes do not transfer, and bioactive-protein preservation has not been co-validated with 5-log pathogen kill on enough shared batches [2,24]. Treating those readings as a single</w:t>
      </w:r>
      <w:r>
        <w:t xml:space="preserve"> </w:t>
      </w:r>
      <w:r>
        <w:t xml:space="preserve">“</w:t>
      </w:r>
      <w:r>
        <w:t xml:space="preserve">HPP is safe and mild</w:t>
      </w:r>
      <w:r>
        <w:t xml:space="preserve">”</w:t>
      </w:r>
      <w:r>
        <w:t xml:space="preserve"> </w:t>
      </w:r>
      <w:r>
        <w:t xml:space="preserve">sentence is how a narrative review would mislead.</w:t>
      </w:r>
    </w:p>
    <w:p>
      <w:pPr>
        <w:pStyle w:val="BodyText"/>
        <w:jc w:val="both"/>
      </w:pPr>
      <w:r>
        <w:t xml:space="preserve">Logs cannot be pooled. 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 reviewer who averages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the same discipline. PPO, lysozyme, kelp hardness, and APC are four thermometers.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Other nonthermal fields in this sample are too thin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Low-acid vegetable juices (pH above 4.6) remain a separate safety class even when HPP has reduced vegetative counts.</w:t>
      </w:r>
      <w:r>
        <w:t xml:space="preserve"> </w:t>
      </w:r>
      <w:r>
        <w:rPr>
          <w:iCs/>
          <w:i/>
        </w:rPr>
        <w:t xml:space="preserve">Clostridium botulinum</w:t>
      </w:r>
      <w:r>
        <w:t xml:space="preserve"> </w:t>
      </w:r>
      <w:r>
        <w:t xml:space="preserve">spores can grow in that pH window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in this sample. Abstracts can disagree with results (donkey milk [7]).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[5,20]. Plasma and ultrasound still need paired bench-versus-plant measurements, given the lettuce pilot drop [18] and the sonicator’s missing heat control [3].</w:t>
      </w:r>
    </w:p>
    <w:bookmarkEnd w:id="32"/>
    <w:bookmarkStart w:id="33"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[9]. Spore tails remain, so either HPTP or a cold chain has to be planned, with water activity as a designed factor [1,4,28]. Enzymes, bioactive proteins, and texture have to be measured on the same samples as microbes, because they do not covary [6,7,8]. Recovery methods and strain sets can move a log reduction as much as 100 MPa can, and they should be reported with the set-point [5,11]. Ultrasound, plasma, and irradiation stay in separate sentences until their included primary data are as dense as the HPP rows in Tables 1–3.</w:t>
      </w:r>
    </w:p>
    <w:bookmarkEnd w:id="33"/>
    <w:bookmarkStart w:id="34"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2026-09-20T10:34:48Z</dcterms:created>
  <dcterms:modified xsi:type="dcterms:W3CDTF">2026-09-20T10:34:48Z</dcterms:modified>
</cp:coreProperties>
</file>

<file path=docProps/custom.xml><?xml version="1.0" encoding="utf-8"?>
<Properties xmlns="http://schemas.openxmlformats.org/officeDocument/2006/custom-properties" xmlns:vt="http://schemas.openxmlformats.org/officeDocument/2006/docPropsVTypes"/>
</file>