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Title: Plant Disease Detection through Convolutional Neural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Overview of the Issue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project aims to create a model leveraging Convolutional Neural Networks (CNNs) to identify and classify diseases in plant leaves using image data. It will support crops such as apples, cherries, and grapes, detecting both healthy and infected leaves and specifying the disease type. The system is designed to support smart farming by enabling early-stage detection and effective treatment, ultimately reducing agricultural losses and enhancing crop productivity.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Project Workflow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1. Data Acquisition and Organization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image dataset will be categorized into three primary sections: training, validation, and testing. This classification is vital for building and assessing a robust model.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dataset will be stored on Google Drive for streamlined access and maintenance.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2. Development Environment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implementation will take place in Google Colab, taking advantage of Gemini AI capabilities.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T4 GPU will be utilized to ensure the efficient training of deep learning models.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3. Uploading and Preparing the Dataset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compressed version of the dataset will be uploaded to Google Drive.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Colab environment, the drive will be mounted to access and extract the zipped dataset for use in training and evaluation.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4. Preprocessing and Data Augmentation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Leaf images will be processed to fit model requirements—this may involve normalization, resizing, and other formatting.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Techniques like flipping, rotating, zooming, and shifting will be applied to enrich the dataset and help the model perform better on unseen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5. Model Architecture Design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custom CNN will be developed to handle the classification task.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network will incorporate several convolutional, pooling, and fully connected layers based on effective image recognition structures.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6. Training Phase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model will be trained with the designated training dataset. Hyperparameter tuning and overfitting prevention will be managed using the validation set.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Suitable optimizers and loss functions will be selected to ensure effective model learning.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7. Performance Evaluation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model’s accuracy will be tested using the test dataset post-training.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Evaluation metrics such as precision, recall, accuracy, and F1-score will help assess the reliability of predictions.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8. Final Thoughts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CNN-driven plant disease detection system has the potential to be an asset for farmers and agricultural experts. By enabling prompt identification and treatment, it offers a step forward in achieving higher efficiency and sustainability in agriculture.</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