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Calibri" w:hAnsi="Calibri" w:eastAsia="Songti SC"/>
          <w:color w:val="000000"/>
        </w:rPr>
        <w:t>RWAIX Universal Trust and Transaction Protocol Whitepaper</w:t>
        <w:br/>
        <w:t>for Future Digital Commerce</w:t>
      </w:r>
    </w:p>
    <w:p>
      <w:pPr>
        <w:pStyle w:val="Subtitle"/>
        <w:widowControl/>
      </w:pPr>
      <w:r>
        <w:rPr>
          <w:rFonts w:ascii="Calibri" w:hAnsi="Calibri" w:eastAsia="Songti SC"/>
          <w:color w:val="000000"/>
        </w:rPr>
        <w:t>Cross-Industry Transaction Reference Specification Dual-Token Collaboration and Multidimensional Applications</w:t>
      </w:r>
    </w:p>
    <w:p>
      <w:pPr>
        <w:widowControl/>
      </w:pPr>
      <w:r>
        <w:rPr>
          <w:rFonts w:ascii="Calibri" w:hAnsi="Calibri" w:eastAsia="Songti SC"/>
          <w:color w:val="000000"/>
        </w:rPr>
        <w:t>11 October 2026  Version v6.4</w:t>
      </w:r>
    </w:p>
    <w:p>
      <w:pPr>
        <w:widowControl/>
      </w:pPr>
      <w:r>
        <w:rPr>
          <w:rFonts w:ascii="Calibri" w:hAnsi="Calibri" w:eastAsia="Songti SC"/>
          <w:color w:val="000000"/>
        </w:rPr>
        <w:t>RWAIX proposes a universal trust and transaction protocol built on NFTs and blockchain for digital commerce involving people, institutions, AI Agents, digital assets and physical devices. The protocol connects participant qualifications, transaction intent, contractual rights, performance evidence, acceptance, authorized settlement and dispute handling into a reviewable collaboration process, allowing different organizations to exchange records with explicit meaning for the same transaction. The company’s disclosed NFT business is the first planned implementation use case, connecting work and token bindings, rights and licences, orders, delivery acceptance and authorized payment. Compute facilities and other industry applications are subsequent extensions. This implementation sequence does not mean that the protocol is already deployed in production on the company’s platform.</w:t>
      </w:r>
    </w:p>
    <w:p>
      <w:pPr>
        <w:widowControl/>
      </w:pPr>
      <w:r>
        <w:rPr>
          <w:rFonts w:ascii="Calibri" w:hAnsi="Calibri" w:eastAsia="Songti SC"/>
          <w:color w:val="000000"/>
        </w:rPr>
        <w:t>This whitepaper proposes a transaction reference specification for industry adoption, defining shared semantics, core constraints, role-specific conformance and a validation path. Sections 4 to 5 set out proposed normative requirements; the other sections explain technical implementation, dual-token collaboration and application designs. Section 24 proposes a process for open evolution. Its current status is a proposed reference specification for implementation and review, rather than an industry standard adopted by a standards organization or validated across institutions. Existing company components and new development are disclosed separately in Section 23. Frozen machine-readable schemas, test packages and interoperability results are conditions for subsequent releases.</w:t>
      </w:r>
    </w:p>
    <w:p>
      <w:pPr>
        <w:widowControl/>
      </w:pPr>
      <w:r>
        <w:rPr>
          <w:rFonts w:ascii="Calibri" w:hAnsi="Calibri" w:eastAsia="Songti SC"/>
          <w:color w:val="000000"/>
        </w:rPr>
        <w:t>The dual-token design provides an economic profile with distinct functions for the transaction network. DCNFT records series-specific interests defined by contract for an identified facility SPV; $RWAIX is proposed for approved network fees, operator performance bonding, service incentives and limited parameter governance. Ordinary transaction objects, identity credentials, facility investment interests and the network token are modeled separately and connected through business identifiers and independent ledgers. General participants can verify or use services without being required to hold investment interests merely because they adopt this specification. Each economic module is enabled only when its own conditions are met.</w:t>
      </w:r>
    </w:p>
    <w:p>
      <w:pPr>
        <w:widowControl/>
      </w:pPr>
      <w:r>
        <w:rPr>
          <w:rFonts w:ascii="Calibri" w:hAnsi="Calibri" w:eastAsia="Songti SC"/>
          <w:color w:val="000000"/>
        </w:rPr>
        <w:t>This version retains the sourced industry context and adjustable technical-service billing model in Section 25, establishes the initial implementation sequence through the company NFT transaction path in Section 17, and provides an eight-scenario browser reference prototype with NFT transactions as the default entry point in Section 26. The prototype makes transaction commitments, evidence checks, separate acceptance and settlement across distinct ledgers observable. Implemented scope, recorded tests and outstanding production requirements are disclosed separately; they do not establish production deployment on the company’s platform, industry-standard status or full conformance certification.</w:t>
      </w:r>
    </w:p>
    <w:p>
      <w:pPr>
        <w:pStyle w:val="Heading1"/>
        <w:widowControl/>
      </w:pPr>
      <w:r>
        <w:rPr>
          <w:rFonts w:ascii="Calibri" w:hAnsi="Calibri" w:eastAsia="Songti SC"/>
          <w:color w:val="000000"/>
        </w:rPr>
        <w:t>1 The Technical Proposition for Future Digital Collaboration</w:t>
      </w:r>
    </w:p>
    <w:p>
      <w:pPr>
        <w:widowControl/>
      </w:pPr>
      <w:r>
        <w:rPr>
          <w:rFonts w:ascii="Calibri" w:hAnsi="Calibri" w:eastAsia="Songti SC"/>
          <w:color w:val="000000"/>
        </w:rPr>
        <w:t>The protocol addresses an evolving scenario in which digital systems progressively take on resource discovery, qualification checks, negotiation of terms, service invocation and task execution. Participants include people, businesses, devices and software agents with varying degrees of autonomy. As collaboration expands, systems need to establish who may make a commitment, whether evidence remains valid, whether an operation exceeds its authority and who handles errors. RWAIX designs shared interfaces around these questions.</w:t>
      </w:r>
    </w:p>
    <w:p>
      <w:pPr>
        <w:widowControl/>
      </w:pPr>
      <w:r>
        <w:rPr>
          <w:rFonts w:ascii="Calibri" w:hAnsi="Calibri" w:eastAsia="Songti SC"/>
          <w:color w:val="000000"/>
        </w:rPr>
        <w:t>The principle that everyone can establish trust and participate means that everyone has the opportunity, under public rules, to establish identity relationships, demonstrate specific qualifications or conduct, and collaborate while protecting privacy. Trust conclusions are limited to a proposition, purpose, time and set of dependencies; participants have routes to correction and appeal. The protocol does not generate a universal score of character or social value, nor does it treat NFT ownership as permanent proof of trustworthiness.</w:t>
      </w:r>
    </w:p>
    <w:p>
      <w:pPr>
        <w:widowControl/>
      </w:pPr>
      <w:r>
        <w:rPr>
          <w:rFonts w:ascii="Calibri" w:hAnsi="Calibri" w:eastAsia="Songti SC"/>
          <w:color w:val="000000"/>
        </w:rPr>
        <w:t>The universal trust core operates around four relationships: control between subjects and objects, provenance between claims and evidence, authorization between rights and operations, and correspondence between commitments and actual performance. NFTs provide typed object anchors; credentials and evidence express verifiable content; contextual policies determine whether a particular request meets its conditions; and independent executors constrain actual operations. Applications share these relationships while retaining their own sources of facts and accountability rules.</w:t>
      </w:r>
    </w:p>
    <w:p>
      <w:pPr>
        <w:widowControl/>
      </w:pPr>
      <w:r>
        <w:rPr>
          <w:rFonts w:ascii="Calibri" w:hAnsi="Calibri" w:eastAsia="Songti SC"/>
          <w:color w:val="000000"/>
        </w:rPr>
        <w:t>The future value of the technology depends on whether this capacity for collaboration remains consistent across applications: individuals carry qualifications, businesses verify suppliers, creators grant licences, Agents invoke services within limits, and devices provide evidence of maintenance and use. Technical advancement is validated through independent reviewability, security, privacy, interoperability and practical efficiency together. The company’s NFT transaction business provides the first planned complete implementation path; compute and other use cases subsequently test the scope of the same core.</w:t>
      </w:r>
    </w:p>
    <w:p>
      <w:pPr>
        <w:widowControl/>
      </w:pPr>
      <w:r>
        <w:rPr>
          <w:rFonts w:ascii="Calibri" w:hAnsi="Calibri" w:eastAsia="Songti SC"/>
          <w:color w:val="000000"/>
        </w:rPr>
        <w:t>The two instruments express specific project interests and network collaboration across applications separately. DCNFT holders derive their rights from the applicable series documents; permissions to use $RWAIX derive from approved network rules; qualifications and facts still require evidence verification. Participants may choose to provide services, verify credentials or use applications without becoming investors merely by participating in the universal trust network.</w:t>
      </w:r>
    </w:p>
    <w:p>
      <w:pPr>
        <w:widowControl/>
      </w:pPr>
      <w:r>
        <w:rPr>
          <w:rFonts w:ascii="Calibri" w:hAnsi="Calibri" w:eastAsia="Songti SC"/>
          <w:color w:val="000000"/>
        </w:rPr>
        <w:t>The commercial logic for industry use is to connect transaction commitments, performance facts and transfers of value in ways that different systems can understand: who commits, to whom performance is owed, what is delivered, when acceptance occurs, who may authorize payment and how errors are corrected must all be explicit. The protocol's value is demonstrated through replaceable service providers, portable evidence, accountable operations and measurable collaboration costs. A reference specification can form the basis for shared industry rules only when independent parties can implement the same version and recognize one another's results.</w:t>
      </w:r>
    </w:p>
    <w:p>
      <w:pPr>
        <w:pStyle w:val="Heading1"/>
        <w:widowControl/>
      </w:pPr>
      <w:r>
        <w:rPr>
          <w:rFonts w:ascii="Calibri" w:hAnsi="Calibri" w:eastAsia="Songti SC"/>
          <w:color w:val="000000"/>
        </w:rPr>
        <w:t>2 Proposed Technical Contributions and Existing Technologies</w:t>
      </w:r>
    </w:p>
    <w:p>
      <w:pPr>
        <w:widowControl/>
      </w:pPr>
      <w:r>
        <w:rPr>
          <w:rFonts w:ascii="Calibri" w:hAnsi="Calibri" w:eastAsia="Songti SC"/>
          <w:color w:val="000000"/>
        </w:rPr>
        <w:t>NFTs, digital signatures, decentralized identifiers, verifiable credentials, smart contracts and cryptographic proofs already provide a substantial technical foundation. Using these components does not itself establish originality. RWAIX's proposed contribution is to organize object identity, evidence dependencies, contextual policies, state changes and authorized execution into a protocol whose components can be verified together, and to test through different applications whether the same core is genuinely reusable.</w:t>
      </w:r>
    </w:p>
    <w:p>
      <w:pPr>
        <w:widowControl/>
      </w:pPr>
      <w:r>
        <w:rPr>
          <w:rFonts w:ascii="Calibri" w:hAnsi="Calibri" w:eastAsia="Songti SC"/>
          <w:color w:val="000000"/>
        </w:rPr>
        <w:t>The protocol proposes five research hypotheses: typed NFT trust objects can reduce semantic ambiguity across applications; a TrustReceipt carrying context and version information can be checked by independent implementations; an evidence dependency graph can identify circular endorsements and repeated counting of supporting evidence; credential lifecycle management and checks before execution can limit erroneous authorization after revocation; and open application adapters can reduce the need to modify core contracts when adding an industry. Section 22 sets out experimental design and counterexample testing requirements for these hypotheses.</w:t>
      </w:r>
    </w:p>
    <w:p>
      <w:pPr>
        <w:widowControl/>
      </w:pPr>
      <w:r>
        <w:rPr>
          <w:rFonts w:ascii="Calibri" w:hAnsi="Calibri" w:eastAsia="Songti SC"/>
          <w:color w:val="000000"/>
        </w:rPr>
        <w:t>W3C DID and VC standards provide models for identifier control and verifiable claims; ERC-721 and related standards provide on-chain object interfaces. EAS already provides schemas, on-chain and off-chain attestations, references, revocation and optional resolver rules; Sign Protocol's public documentation also positions it as a universal evidence layer. Building on these capabilities, RWAIX proposes explicit contracts for contextual evaluation and execution. Any significant advantage must be tested against a baseline that directly combines the existing components. Universal trust and evidence layers are established areas of work; this whitepaper does not treat a combination of components or a name as evidence of a global first. [S1–S5, S10–S11]</w:t>
      </w:r>
    </w:p>
    <w:p>
      <w:pPr>
        <w:widowControl/>
      </w:pPr>
      <w:r>
        <w:rPr>
          <w:rFonts w:ascii="Calibri" w:hAnsi="Calibri" w:eastAsia="Songti SC"/>
          <w:color w:val="000000"/>
        </w:rPr>
        <w:t>RWAIX uses the division of functions between DCNFT and $RWAIX as its proposed economic architecture, without requiring a new public blockchain or newly invented cryptographic algorithms. Protocol development first establishes evidence and permission mechanisms, then separately validates rights registration, network charging and incentive modules. Where token issuance conditions have not been met, service pilots can use other approved settlement methods. Any new cryptographic construction or consensus mechanism should separately publish its security model, analysis and review materials.</w:t>
      </w:r>
    </w:p>
    <w:p>
      <w:pPr>
        <w:widowControl/>
      </w:pPr>
      <w:r>
        <w:rPr>
          <w:rFonts w:ascii="Calibri" w:hAnsi="Calibri" w:eastAsia="Songti SC"/>
          <w:color w:val="000000"/>
        </w:rPr>
        <w:t>The incremental hypothesis of the dual-token design is that it can reduce the commingling of interests and operating funds while allowing industry adapters to reuse common fee and incentive interfaces. Validation should compare it with a single mixed-purpose token, separately accounted systems and a service baseline without token issuance, including the additional costs of contracts, quotes, liquidity and administration. The number of tokens is not itself evidence of technical advancement.</w:t>
      </w:r>
    </w:p>
    <w:p>
      <w:pPr>
        <w:widowControl/>
      </w:pPr>
      <w:r>
        <w:rPr>
          <w:rFonts w:ascii="Calibri" w:hAnsi="Calibri" w:eastAsia="Songti SC"/>
          <w:color w:val="000000"/>
        </w:rPr>
        <w:t>This version adds a hypothesis of consistent transaction semantics: given the same transaction terms, authorizations, evidence snapshot and versions, independent implementations can produce compatible states and reason codes and trace differences to explicit external dependencies. Validation covers normal delivery, partial performance, revocation, disputes, unknown payment outcomes and subsequent compensation. The objective is to reduce the cost of reinterpreting transaction meaning across institutions.</w:t>
      </w:r>
    </w:p>
    <w:p>
      <w:pPr>
        <w:widowControl/>
      </w:pPr>
      <w:r>
        <w:rPr>
          <w:rFonts w:ascii="Calibri" w:hAnsi="Calibri" w:eastAsia="Songti SC"/>
          <w:color w:val="000000"/>
        </w:rPr>
        <w:t>Section 26 turns selected research propositions into an interactive browser reference prototype for examining the relationships among fixed terms, signed evidence, authority and payment states. Executable examples provide a reviewable starting point. Advantages over existing approaches remain subject to the controlled comparisons and independent-implementation validation specified in Section 22.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016"/>
        <w:gridCol w:w="3816"/>
        <w:gridCol w:w="4248"/>
      </w:tblGrid>
      <w:tr>
        <w:trPr>
          <w:cantSplit/>
          <w:tblHeader/>
        </w:trPr>
        <w:tc>
          <w:tcPr>
            <w:tcW w:type="dxa" w:w="2016"/>
            <w:vAlign w:val="center"/>
            <w:shd w:fill="E7EDF2"/>
          </w:tcPr>
          <w:p>
            <w:pPr>
              <w:spacing w:after="0" w:before="0" w:line="259" w:lineRule="auto"/>
            </w:pPr>
            <w:r>
              <w:rPr>
                <w:rFonts w:ascii="Calibri" w:hAnsi="Calibri" w:eastAsia="Songti SC"/>
                <w:b/>
                <w:color w:val="000000"/>
                <w:sz w:val="20"/>
              </w:rPr>
              <w:t>Existing Foundation</w:t>
            </w:r>
          </w:p>
        </w:tc>
        <w:tc>
          <w:tcPr>
            <w:tcW w:type="dxa" w:w="3816"/>
            <w:vAlign w:val="center"/>
            <w:shd w:fill="E7EDF2"/>
          </w:tcPr>
          <w:p>
            <w:pPr>
              <w:spacing w:after="0" w:before="0" w:line="259" w:lineRule="auto"/>
            </w:pPr>
            <w:r>
              <w:rPr>
                <w:rFonts w:ascii="Calibri" w:hAnsi="Calibri" w:eastAsia="Songti SC"/>
                <w:b/>
                <w:color w:val="000000"/>
                <w:sz w:val="20"/>
              </w:rPr>
              <w:t>Existing Capabilities</w:t>
            </w:r>
          </w:p>
        </w:tc>
        <w:tc>
          <w:tcPr>
            <w:tcW w:type="dxa" w:w="4248"/>
            <w:vAlign w:val="center"/>
            <w:shd w:fill="E7EDF2"/>
          </w:tcPr>
          <w:p>
            <w:pPr>
              <w:spacing w:after="0" w:before="0" w:line="259" w:lineRule="auto"/>
            </w:pPr>
            <w:r>
              <w:rPr>
                <w:rFonts w:ascii="Calibri" w:hAnsi="Calibri" w:eastAsia="Songti SC"/>
                <w:b/>
                <w:color w:val="000000"/>
                <w:sz w:val="20"/>
              </w:rPr>
              <w:t>Increment RWAIX Proposes to Test</w:t>
            </w:r>
          </w:p>
        </w:tc>
      </w:tr>
      <w:tr>
        <w:trPr>
          <w:cantSplit/>
        </w:trPr>
        <w:tc>
          <w:tcPr>
            <w:tcW w:type="dxa" w:w="2016"/>
            <w:vAlign w:val="center"/>
            <w:shd w:fill="FFFFFF"/>
          </w:tcPr>
          <w:p>
            <w:pPr>
              <w:spacing w:after="0" w:before="0" w:line="259" w:lineRule="auto"/>
            </w:pPr>
            <w:r>
              <w:rPr>
                <w:rFonts w:ascii="Calibri" w:hAnsi="Calibri" w:eastAsia="Songti SC"/>
                <w:color w:val="000000"/>
                <w:sz w:val="20"/>
              </w:rPr>
              <w:t>NFT standards [S4–S7]</w:t>
            </w:r>
          </w:p>
        </w:tc>
        <w:tc>
          <w:tcPr>
            <w:tcW w:type="dxa" w:w="3816"/>
            <w:vAlign w:val="center"/>
            <w:shd w:fill="FFFFFF"/>
          </w:tcPr>
          <w:p>
            <w:pPr>
              <w:spacing w:after="0" w:before="0" w:line="259" w:lineRule="auto"/>
            </w:pPr>
            <w:r>
              <w:rPr>
                <w:rFonts w:ascii="Calibri" w:hAnsi="Calibri" w:eastAsia="Songti SC"/>
                <w:color w:val="000000"/>
                <w:sz w:val="20"/>
              </w:rPr>
              <w:t>Object identification, holding and transfer; some configurations restrict transfer</w:t>
            </w:r>
          </w:p>
        </w:tc>
        <w:tc>
          <w:tcPr>
            <w:tcW w:type="dxa" w:w="4248"/>
            <w:vAlign w:val="center"/>
            <w:shd w:fill="FFFFFF"/>
          </w:tcPr>
          <w:p>
            <w:pPr>
              <w:spacing w:after="0" w:before="0" w:line="259" w:lineRule="auto"/>
            </w:pPr>
            <w:r>
              <w:rPr>
                <w:rFonts w:ascii="Calibri" w:hAnsi="Calibri" w:eastAsia="Songti SC"/>
                <w:color w:val="000000"/>
                <w:sz w:val="20"/>
              </w:rPr>
              <w:t>Explicit typed relationships among subjects, control, rights and lifecycles</w:t>
            </w:r>
          </w:p>
        </w:tc>
      </w:tr>
      <w:tr>
        <w:trPr>
          <w:cantSplit/>
        </w:trPr>
        <w:tc>
          <w:tcPr>
            <w:tcW w:type="dxa" w:w="2016"/>
            <w:vAlign w:val="center"/>
            <w:shd w:fill="FFFFFF"/>
          </w:tcPr>
          <w:p>
            <w:pPr>
              <w:spacing w:after="0" w:before="0" w:line="259" w:lineRule="auto"/>
            </w:pPr>
            <w:r>
              <w:rPr>
                <w:rFonts w:ascii="Calibri" w:hAnsi="Calibri" w:eastAsia="Songti SC"/>
                <w:color w:val="000000"/>
                <w:sz w:val="20"/>
              </w:rPr>
              <w:t>DID and VC [S1–S3]</w:t>
            </w:r>
          </w:p>
        </w:tc>
        <w:tc>
          <w:tcPr>
            <w:tcW w:type="dxa" w:w="3816"/>
            <w:vAlign w:val="center"/>
            <w:shd w:fill="FFFFFF"/>
          </w:tcPr>
          <w:p>
            <w:pPr>
              <w:spacing w:after="0" w:before="0" w:line="259" w:lineRule="auto"/>
            </w:pPr>
            <w:r>
              <w:rPr>
                <w:rFonts w:ascii="Calibri" w:hAnsi="Calibri" w:eastAsia="Songti SC"/>
                <w:color w:val="000000"/>
                <w:sz w:val="20"/>
              </w:rPr>
              <w:t>Identifier control, claims, presentations and status representation</w:t>
            </w:r>
          </w:p>
        </w:tc>
        <w:tc>
          <w:tcPr>
            <w:tcW w:type="dxa" w:w="4248"/>
            <w:vAlign w:val="center"/>
            <w:shd w:fill="FFFFFF"/>
          </w:tcPr>
          <w:p>
            <w:pPr>
              <w:spacing w:after="0" w:before="0" w:line="259" w:lineRule="auto"/>
            </w:pPr>
            <w:r>
              <w:rPr>
                <w:rFonts w:ascii="Calibri" w:hAnsi="Calibri" w:eastAsia="Songti SC"/>
                <w:color w:val="000000"/>
                <w:sz w:val="20"/>
              </w:rPr>
              <w:t>Consistent constraints on contextual policies, dependency snapshots and replayable evaluation</w:t>
            </w:r>
          </w:p>
        </w:tc>
      </w:tr>
      <w:tr>
        <w:trPr>
          <w:cantSplit/>
        </w:trPr>
        <w:tc>
          <w:tcPr>
            <w:tcW w:type="dxa" w:w="2016"/>
            <w:vAlign w:val="center"/>
            <w:shd w:fill="FFFFFF"/>
          </w:tcPr>
          <w:p>
            <w:pPr>
              <w:spacing w:after="0" w:before="0" w:line="259" w:lineRule="auto"/>
            </w:pPr>
            <w:r>
              <w:rPr>
                <w:rFonts w:ascii="Calibri" w:hAnsi="Calibri" w:eastAsia="Songti SC"/>
                <w:color w:val="000000"/>
                <w:sz w:val="20"/>
              </w:rPr>
              <w:t>EAS and Sign [S10–S11]</w:t>
            </w:r>
          </w:p>
        </w:tc>
        <w:tc>
          <w:tcPr>
            <w:tcW w:type="dxa" w:w="3816"/>
            <w:vAlign w:val="center"/>
            <w:shd w:fill="FFFFFF"/>
          </w:tcPr>
          <w:p>
            <w:pPr>
              <w:spacing w:after="0" w:before="0" w:line="259" w:lineRule="auto"/>
            </w:pPr>
            <w:r>
              <w:rPr>
                <w:rFonts w:ascii="Calibri" w:hAnsi="Calibri" w:eastAsia="Songti SC"/>
                <w:color w:val="000000"/>
                <w:sz w:val="20"/>
              </w:rPr>
              <w:t>Addressable attestations, evidence schemas and related lifecycle capabilities</w:t>
            </w:r>
          </w:p>
        </w:tc>
        <w:tc>
          <w:tcPr>
            <w:tcW w:type="dxa" w:w="4248"/>
            <w:vAlign w:val="center"/>
            <w:shd w:fill="FFFFFF"/>
          </w:tcPr>
          <w:p>
            <w:pPr>
              <w:spacing w:after="0" w:before="0" w:line="259" w:lineRule="auto"/>
            </w:pPr>
            <w:r>
              <w:rPr>
                <w:rFonts w:ascii="Calibri" w:hAnsi="Calibri" w:eastAsia="Songti SC"/>
                <w:color w:val="000000"/>
                <w:sz w:val="20"/>
              </w:rPr>
              <w:t>Adaptation across representations, explicit rejection of semantic loss and linkage to independent execution authorization</w:t>
            </w:r>
          </w:p>
        </w:tc>
      </w:tr>
      <w:tr>
        <w:trPr>
          <w:cantSplit/>
        </w:trPr>
        <w:tc>
          <w:tcPr>
            <w:tcW w:type="dxa" w:w="2016"/>
            <w:vAlign w:val="center"/>
            <w:shd w:fill="FFFFFF"/>
          </w:tcPr>
          <w:p>
            <w:pPr>
              <w:spacing w:after="0" w:before="0" w:line="259" w:lineRule="auto"/>
            </w:pPr>
            <w:r>
              <w:rPr>
                <w:rFonts w:ascii="Calibri" w:hAnsi="Calibri" w:eastAsia="Songti SC"/>
                <w:color w:val="000000"/>
                <w:sz w:val="20"/>
              </w:rPr>
              <w:t>Signatures and smart accounts [S8–S9, S12]</w:t>
            </w:r>
          </w:p>
        </w:tc>
        <w:tc>
          <w:tcPr>
            <w:tcW w:type="dxa" w:w="3816"/>
            <w:vAlign w:val="center"/>
            <w:shd w:fill="FFFFFF"/>
          </w:tcPr>
          <w:p>
            <w:pPr>
              <w:spacing w:after="0" w:before="0" w:line="259" w:lineRule="auto"/>
            </w:pPr>
            <w:r>
              <w:rPr>
                <w:rFonts w:ascii="Calibri" w:hAnsi="Calibri" w:eastAsia="Songti SC"/>
                <w:color w:val="000000"/>
                <w:sz w:val="20"/>
              </w:rPr>
              <w:t>Contract signature verification, structured signatures and programmable account validation</w:t>
            </w:r>
          </w:p>
        </w:tc>
        <w:tc>
          <w:tcPr>
            <w:tcW w:type="dxa" w:w="4248"/>
            <w:vAlign w:val="center"/>
            <w:shd w:fill="FFFFFF"/>
          </w:tcPr>
          <w:p>
            <w:pPr>
              <w:spacing w:after="0" w:before="0" w:line="259" w:lineRule="auto"/>
            </w:pPr>
            <w:r>
              <w:rPr>
                <w:rFonts w:ascii="Calibri" w:hAnsi="Calibri" w:eastAsia="Songti SC"/>
                <w:color w:val="000000"/>
                <w:sz w:val="20"/>
              </w:rPr>
              <w:t>Context-specific permissions, shared budgets and state checks between verification and execution</w:t>
            </w:r>
          </w:p>
        </w:tc>
      </w:tr>
      <w:tr>
        <w:trPr>
          <w:cantSplit/>
        </w:trPr>
        <w:tc>
          <w:tcPr>
            <w:tcW w:type="dxa" w:w="2016"/>
            <w:vAlign w:val="center"/>
            <w:shd w:fill="FFFFFF"/>
          </w:tcPr>
          <w:p>
            <w:pPr>
              <w:spacing w:after="0" w:before="0" w:line="259" w:lineRule="auto"/>
            </w:pPr>
            <w:r>
              <w:rPr>
                <w:rFonts w:ascii="Calibri" w:hAnsi="Calibri" w:eastAsia="Songti SC"/>
                <w:color w:val="000000"/>
                <w:sz w:val="20"/>
              </w:rPr>
              <w:t>Industry systems and signed logs</w:t>
            </w:r>
          </w:p>
        </w:tc>
        <w:tc>
          <w:tcPr>
            <w:tcW w:type="dxa" w:w="3816"/>
            <w:vAlign w:val="center"/>
            <w:shd w:fill="FFFFFF"/>
          </w:tcPr>
          <w:p>
            <w:pPr>
              <w:spacing w:after="0" w:before="0" w:line="259" w:lineRule="auto"/>
            </w:pPr>
            <w:r>
              <w:rPr>
                <w:rFonts w:ascii="Calibri" w:hAnsi="Calibri" w:eastAsia="Songti SC"/>
                <w:color w:val="000000"/>
                <w:sz w:val="20"/>
              </w:rPr>
              <w:t>Business processes, permissions, logs and industry sources of facts</w:t>
            </w:r>
          </w:p>
        </w:tc>
        <w:tc>
          <w:tcPr>
            <w:tcW w:type="dxa" w:w="4248"/>
            <w:vAlign w:val="center"/>
            <w:shd w:fill="FFFFFF"/>
          </w:tcPr>
          <w:p>
            <w:pPr>
              <w:spacing w:after="0" w:before="0" w:line="259" w:lineRule="auto"/>
            </w:pPr>
            <w:r>
              <w:rPr>
                <w:rFonts w:ascii="Calibri" w:hAnsi="Calibri" w:eastAsia="Songti SC"/>
                <w:color w:val="000000"/>
                <w:sz w:val="20"/>
              </w:rPr>
              <w:t>Comparison of reuse across applications, verification portability, privacy and total cost</w:t>
            </w:r>
          </w:p>
        </w:tc>
      </w:tr>
    </w:tbl>
    <w:p>
      <w:pPr>
        <w:widowControl/>
        <w:spacing w:after="20"/>
      </w:pPr>
    </w:p>
    <w:p>
      <w:pPr>
        <w:pStyle w:val="Heading1"/>
        <w:widowControl/>
      </w:pPr>
      <w:r>
        <w:rPr>
          <w:rFonts w:ascii="Calibri" w:hAnsi="Calibri" w:eastAsia="Songti SC"/>
          <w:color w:val="000000"/>
        </w:rPr>
        <w:t>3 Protocol Architecture and Trust Domains</w:t>
      </w:r>
    </w:p>
    <w:p>
      <w:pPr>
        <w:widowControl/>
      </w:pPr>
      <w:r>
        <w:rPr>
          <w:rFonts w:ascii="Calibri" w:hAnsi="Calibri" w:eastAsia="Songti SC"/>
          <w:color w:val="000000"/>
        </w:rPr>
        <w:t>RWAIX consists of a universal trust core, shared services and industry adapters. The core defines objects, credential references, evidence dependencies, policy versions, verification results and lifecycles. Shared services provide key recovery, evidence storage, indexing, verification and dispute handling. Industry adapters map specific business facts and contractual conditions into the core. Each industry adapter must disclose the external facts that the core cannot determine.</w:t>
      </w:r>
    </w:p>
    <w:p>
      <w:pPr>
        <w:widowControl/>
      </w:pPr>
      <w:r>
        <w:rPr>
          <w:rFonts w:ascii="Calibri" w:hAnsi="Calibri" w:eastAsia="Songti SC"/>
          <w:color w:val="000000"/>
        </w:rPr>
        <w:t>The identity and control layer manages control keys and delegated authority for people, organizations, devices and Agents. The NFT object layer provides stable anchors and explicit binding semantics for managed objects. The evidence layer organizes credentials, observations and provenance. The policy layer produces verification conclusions in a given context. The collaboration and execution layer advances commitments or payments using valid authorizations. Governance and interoperability span these layers, constraining versions, upgrades and messages across networks.</w:t>
      </w:r>
    </w:p>
    <w:p>
      <w:pPr>
        <w:widowControl/>
      </w:pPr>
      <w:r>
        <w:rPr>
          <w:rFonts w:ascii="Calibri" w:hAnsi="Calibri" w:eastAsia="Songti SC"/>
          <w:color w:val="000000"/>
        </w:rPr>
        <w:t>The chain stores only the minimum necessary object identifiers, version commitments, state roots and execution events. Sensitive source documents, raw telemetry and large evidence sets are generally held in controlled off-chain storage. A hash demonstrates consistency between particular bytes and a commitment; it does not establish that the content is true, that the data remains available or that an issuer has legal authority. Network finality, evidence authenticity and resolution of commercial disputes belong to different trust domains.</w:t>
      </w:r>
    </w:p>
    <w:p>
      <w:pPr>
        <w:widowControl/>
      </w:pPr>
      <w:r>
        <w:rPr>
          <w:rFonts w:ascii="Calibri" w:hAnsi="Calibri" w:eastAsia="Songti SC"/>
          <w:color w:val="000000"/>
        </w:rPr>
        <w:t>Verifiers may be operated by customers, partners or independent services. A common interface permits replacement of a verification service, but the relying party remains responsible for selecting trust roots, policies and dependencies. The core should support multiple implementations and exportable evidence packages, avoiding merely wrapping a single centralized account database in a blockchain interface.</w:t>
      </w:r>
    </w:p>
    <w:p>
      <w:pPr>
        <w:widowControl/>
      </w:pPr>
      <w:r>
        <w:rPr>
          <w:rFonts w:ascii="Calibri" w:hAnsi="Calibri" w:eastAsia="Songti SC"/>
          <w:color w:val="000000"/>
        </w:rPr>
        <w:t>The architecture adds a configurable dual-token adapter layer. DCNFT connects issuance series, rights documents and registers; $RWAIX connects fees, performance bonds, service incentives and limited governance. Separate ledgers maintain objects and evidence, facility interests and cash, and network fees and rewards, with linking identifiers for reconciliation. Adapters register an asset's network, contract address, precision, controlling roles and version. Tokens with the same name or cross-chain representations must not be assumed to convey the same legal rights.</w:t>
      </w:r>
    </w:p>
    <w:p>
      <w:pPr>
        <w:widowControl/>
      </w:pPr>
      <w:r>
        <w:rPr>
          <w:rFonts w:ascii="Calibri" w:hAnsi="Calibri" w:eastAsia="Songti SC"/>
          <w:color w:val="000000"/>
        </w:rPr>
        <w:t>The commercial transaction layer uses common transaction identifiers, obligation identifiers and event envelopes on top of this architecture, with industry adapters adding measurement, acceptance and legal conditions. One business transaction may involve multiple objects, performing parties and payment obligations. Evidence, contractual state and funds execution each retain their authoritative sources and are reconciled through consistency rules. Platforms can be replaced, but established obligations and historical evidence must not disappear when a system is migrated.</w:t>
      </w:r>
    </w:p>
    <w:p>
      <w:pPr>
        <w:pStyle w:val="Caption"/>
        <w:widowControl/>
      </w:pPr>
      <w:r>
        <w:rPr>
          <w:rFonts w:ascii="Calibri" w:hAnsi="Calibri" w:eastAsia="Songti SC"/>
          <w:color w:val="000000"/>
        </w:rPr>
        <w:t>Figure 1. Seven extension domains and dual-token collaboration around the shared core</w:t>
      </w:r>
    </w:p>
    <w:p>
      <w:pPr>
        <w:widowControl/>
        <w:spacing w:after="160"/>
      </w:pPr>
      <w:r>
        <w:drawing>
          <wp:inline xmlns:a="http://schemas.openxmlformats.org/drawingml/2006/main" xmlns:pic="http://schemas.openxmlformats.org/drawingml/2006/picture">
            <wp:extent cx="6400800" cy="5547360"/>
            <wp:docPr id="1" name="Picture 1" descr="The first planned NFT transaction application is described in Section 17. These seven subsequent extension domains select DCNFT rights adapters or $RWAIX network functions as applicable and share objects, evidence, policies, receipts and separately authorized execution. General NFTs and credentials are not facility DCNFT; token holding proves neither facts nor qualifications. Connections show interface relationships, not fund transfers or completed deployment."/>
            <wp:cNvGraphicFramePr>
              <a:graphicFrameLocks noChangeAspect="1"/>
            </wp:cNvGraphicFramePr>
            <a:graphic>
              <a:graphicData uri="http://schemas.openxmlformats.org/drawingml/2006/picture">
                <pic:pic>
                  <pic:nvPicPr>
                    <pic:cNvPr id="0" name="application_panorama_en.png"/>
                    <pic:cNvPicPr/>
                  </pic:nvPicPr>
                  <pic:blipFill>
                    <a:blip r:embed="rId9"/>
                    <a:stretch>
                      <a:fillRect/>
                    </a:stretch>
                  </pic:blipFill>
                  <pic:spPr>
                    <a:xfrm>
                      <a:off x="0" y="0"/>
                      <a:ext cx="6400800" cy="5547360"/>
                    </a:xfrm>
                    <a:prstGeom prst="rect"/>
                  </pic:spPr>
                </pic:pic>
              </a:graphicData>
            </a:graphic>
          </wp:inline>
        </w:drawing>
      </w:r>
    </w:p>
    <w:p>
      <w:pPr>
        <w:pStyle w:val="Heading1"/>
        <w:widowControl/>
      </w:pPr>
      <w:r>
        <w:rPr>
          <w:rFonts w:ascii="Calibri" w:hAnsi="Calibri" w:eastAsia="Songti SC"/>
          <w:color w:val="000000"/>
        </w:rPr>
        <w:t>4 A Cross Industry Reference Specification for Commercial Transactions</w:t>
      </w:r>
    </w:p>
    <w:p>
      <w:pPr>
        <w:widowControl/>
      </w:pPr>
      <w:r>
        <w:rPr>
          <w:rFonts w:ascii="Calibri" w:hAnsi="Calibri" w:eastAsia="Songti SC"/>
          <w:color w:val="000000"/>
        </w:rPr>
        <w:t>This section defines a proposed transaction core for procurement, licensing, service delivery and other collaboration with identifiable parties and obligations. It establishes common semantics for recording and verification while preserving each industry's sources of facts, contractual arrangements and dispute processes. Proof-only processes and zero-price services may declare that no payment obligation exists. Financing, investment and electronic transferable documents still require separately defined rights and applicable conditions.</w:t>
      </w:r>
    </w:p>
    <w:p>
      <w:pPr>
        <w:widowControl/>
      </w:pPr>
      <w:r>
        <w:rPr>
          <w:rFonts w:ascii="Calibri" w:hAnsi="Calibri" w:eastAsia="Songti SC"/>
          <w:color w:val="000000"/>
        </w:rPr>
        <w:t>In Sections 4 to 5, the uppercase terms MUST, MUST NOT, SHOULD and MAY express BCP 14 requirement levels: mandatory, prohibited, recommended subject to a justified exception, and optional, respectively. The uppercase keyword accompanying the Chinese text determines the requirement strength of this proposal; ordinary explanatory text does not thereby become a conformance assertion. The rules constrain only implementations claiming the corresponding version and role and do not give this proposal binding legal or industry-wide authority. [S22–S23]</w:t>
      </w:r>
    </w:p>
    <w:p>
      <w:pPr>
        <w:pStyle w:val="Heading2"/>
        <w:widowControl/>
      </w:pPr>
      <w:r>
        <w:rPr>
          <w:rFonts w:ascii="Calibri" w:hAnsi="Calibri" w:eastAsia="Songti SC"/>
          <w:color w:val="000000"/>
        </w:rPr>
        <w:t>4 1 Transaction Objects and Shared Semantics</w:t>
      </w:r>
    </w:p>
    <w:p>
      <w:pPr>
        <w:widowControl/>
      </w:pPr>
      <w:r>
        <w:rPr>
          <w:rFonts w:ascii="Calibri" w:hAnsi="Calibri" w:eastAsia="Songti SC"/>
          <w:color w:val="000000"/>
        </w:rPr>
        <w:t>N01 Versions and semantics. An implementation MUST pin protocolVersion, profileId, profileVersion, schemaDigest, tradeId and termsDigest for a transaction. TradeEnvelope references the parties and their roles, objects and units, obligations, acceptance rules, timing conditions, fee and payment arrangements, applicable documents and dispute routes. Each obligation has a stable obligationId. Changing the payment asset, chain or adapter for the same debt must not create an additional right to payment. Amounts use explicit currency or asset identifiers, precision and rounding rules; implicit units are prohibited.</w:t>
      </w:r>
    </w:p>
    <w:p>
      <w:pPr>
        <w:widowControl/>
      </w:pPr>
      <w:r>
        <w:rPr>
          <w:rFonts w:ascii="Calibri" w:hAnsi="Calibri" w:eastAsia="Songti SC"/>
          <w:color w:val="000000"/>
        </w:rPr>
        <w:t>N02 Parties and authority. An implementation MUST separately verify the basis for the roles of transaction parties, signatories, service beneficiaries, payers, payees and verifiers, binding authorityRef, scope of authority, validity period and revocation status. Wallet control, a platform account, an Agent signature or token holdings alone cannot replace the required commercial authority. A missing mandatory condition returns a denial or indeterminate result.</w:t>
      </w:r>
    </w:p>
    <w:p>
      <w:pPr>
        <w:widowControl/>
      </w:pPr>
      <w:r>
        <w:rPr>
          <w:rFonts w:ascii="Calibri" w:hAnsi="Calibri" w:eastAsia="Songti SC"/>
          <w:color w:val="000000"/>
        </w:rPr>
        <w:t>N03 Formation and amendment of terms. The system MUST record evidence that authorized parties have consented to a specific termsDigest, together with the applicable conditions for effectiveness. Quotes, orders, invoices and delivery acknowledgments retain their distinct business meanings; an invoice alone does not establish that goods have been accepted. An amendment creates a new version and obtains the required consent under the specified rules, preserving the prior version and its outstanding obligations. The technical state COMMITTED means only that the commitment conditions specified by the profile have been recorded. Contract formation and legal effect remain dependent on the applicable facts and law. The UNCITRAL Model Law on Automated Contracting, adopted in 2024, distinguishes attribution of a system's outputs or actions from their legal consequences. It provides a model for legislation, rather than globally applicable contract rules. [S26]</w:t>
      </w:r>
    </w:p>
    <w:p>
      <w:pPr>
        <w:pStyle w:val="Heading2"/>
        <w:widowControl/>
      </w:pPr>
      <w:r>
        <w:rPr>
          <w:rFonts w:ascii="Calibri" w:hAnsi="Calibri" w:eastAsia="Songti SC"/>
          <w:color w:val="000000"/>
        </w:rPr>
        <w:t>4 2 Transaction Lifecycle and Multiple State Dimensions</w:t>
      </w:r>
    </w:p>
    <w:p>
      <w:pPr>
        <w:widowControl/>
      </w:pPr>
      <w:r>
        <w:rPr>
          <w:rFonts w:ascii="Calibri" w:hAnsi="Calibri" w:eastAsia="Songti SC"/>
          <w:color w:val="000000"/>
        </w:rPr>
        <w:t>N04 States and events. An implementation MUST bind each TradeEvent to eventId, tradeId, obligationId, eventType, actor, authorityRef, streamId, sourceId, prevEventDigest, sequence, causalRefs, effectiveAt, recordedAt, evidenceRefs and a signature domain. The schema must explicitly specify when an obligation identifier is inapplicable. effectiveAt is the asserted effective time; recordedAt is the time the system receives and records the event. They are not interchangeable. State reconciliation uses the ordering, conflict rules and authority conditions fixed by the profile; the last message to arrive must not overwrite a previously valid state merely because it arrived last. sequence and prevEventDigest are scoped to the same signed event stream; causalRefs expresses dependencies across streams. State reconciliation must validate event authority, expected versions and causality. The sequence numbers or timestamps of individual parties must not be treated as a global event order.</w:t>
      </w:r>
    </w:p>
    <w:p>
      <w:pPr>
        <w:widowControl/>
      </w:pPr>
      <w:r>
        <w:rPr>
          <w:rFonts w:ascii="Calibri" w:hAnsi="Calibri" w:eastAsia="Songti SC"/>
          <w:color w:val="000000"/>
        </w:rPr>
        <w:t>Transactions maintain at least five separate dimensions: commitment, performance, payment execution, receipt and discharge, and disputes. Repeated events are processed idempotently by business identifier, out-of-order events remain pending reconciliation, and conflicts follow an explicit pause or review path. Financing-interest registration and network rewards are recorded separately. A successful chain transaction updates only the corresponding execution fact; it must not simultaneously imply acceptance, receipt of funds and resolution of a dispute.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512"/>
        <w:gridCol w:w="4176"/>
        <w:gridCol w:w="4392"/>
      </w:tblGrid>
      <w:tr>
        <w:trPr>
          <w:cantSplit/>
          <w:tblHeader/>
        </w:trPr>
        <w:tc>
          <w:tcPr>
            <w:tcW w:type="dxa" w:w="1512"/>
            <w:vAlign w:val="center"/>
            <w:shd w:fill="E7EDF2"/>
          </w:tcPr>
          <w:p>
            <w:pPr>
              <w:spacing w:after="0" w:before="0" w:line="259" w:lineRule="auto"/>
            </w:pPr>
            <w:r>
              <w:rPr>
                <w:rFonts w:ascii="Calibri" w:hAnsi="Calibri" w:eastAsia="Songti SC"/>
                <w:b/>
                <w:color w:val="000000"/>
                <w:sz w:val="20"/>
              </w:rPr>
              <w:t>State Dimension</w:t>
            </w:r>
          </w:p>
        </w:tc>
        <w:tc>
          <w:tcPr>
            <w:tcW w:type="dxa" w:w="4176"/>
            <w:vAlign w:val="center"/>
            <w:shd w:fill="E7EDF2"/>
          </w:tcPr>
          <w:p>
            <w:pPr>
              <w:spacing w:after="0" w:before="0" w:line="259" w:lineRule="auto"/>
            </w:pPr>
            <w:r>
              <w:rPr>
                <w:rFonts w:ascii="Calibri" w:hAnsi="Calibri" w:eastAsia="Songti SC"/>
                <w:b/>
                <w:color w:val="000000"/>
                <w:sz w:val="20"/>
              </w:rPr>
              <w:t>Reference States</w:t>
            </w:r>
          </w:p>
        </w:tc>
        <w:tc>
          <w:tcPr>
            <w:tcW w:type="dxa" w:w="4392"/>
            <w:vAlign w:val="center"/>
            <w:shd w:fill="E7EDF2"/>
          </w:tcPr>
          <w:p>
            <w:pPr>
              <w:spacing w:after="0" w:before="0" w:line="259" w:lineRule="auto"/>
            </w:pPr>
            <w:r>
              <w:rPr>
                <w:rFonts w:ascii="Calibri" w:hAnsi="Calibri" w:eastAsia="Songti SC"/>
                <w:b/>
                <w:color w:val="000000"/>
                <w:sz w:val="20"/>
              </w:rPr>
              <w:t>Facts Required for Transition</w:t>
            </w:r>
          </w:p>
        </w:tc>
      </w:tr>
      <w:tr>
        <w:trPr>
          <w:cantSplit/>
        </w:trPr>
        <w:tc>
          <w:tcPr>
            <w:tcW w:type="dxa" w:w="1512"/>
            <w:vAlign w:val="center"/>
            <w:shd w:fill="FFFFFF"/>
          </w:tcPr>
          <w:p>
            <w:pPr>
              <w:spacing w:after="0" w:before="0" w:line="259" w:lineRule="auto"/>
            </w:pPr>
            <w:r>
              <w:rPr>
                <w:rFonts w:ascii="Calibri" w:hAnsi="Calibri" w:eastAsia="Songti SC"/>
                <w:color w:val="000000"/>
                <w:sz w:val="20"/>
              </w:rPr>
              <w:t>Commitment</w:t>
            </w:r>
          </w:p>
        </w:tc>
        <w:tc>
          <w:tcPr>
            <w:tcW w:type="dxa" w:w="4176"/>
            <w:vAlign w:val="center"/>
            <w:shd w:fill="FFFFFF"/>
          </w:tcPr>
          <w:p>
            <w:pPr>
              <w:spacing w:after="0" w:before="0" w:line="259" w:lineRule="auto"/>
            </w:pPr>
            <w:r>
              <w:rPr>
                <w:rFonts w:ascii="Calibri" w:hAnsi="Calibri" w:eastAsia="Songti SC"/>
                <w:color w:val="000000"/>
                <w:sz w:val="20"/>
              </w:rPr>
              <w:t>PROPOSED  COMMITTED  AMENDED  TERMINATED</w:t>
            </w:r>
          </w:p>
        </w:tc>
        <w:tc>
          <w:tcPr>
            <w:tcW w:type="dxa" w:w="4392"/>
            <w:vAlign w:val="center"/>
            <w:shd w:fill="FFFFFF"/>
          </w:tcPr>
          <w:p>
            <w:pPr>
              <w:spacing w:after="0" w:before="0" w:line="259" w:lineRule="auto"/>
            </w:pPr>
            <w:r>
              <w:rPr>
                <w:rFonts w:ascii="Calibri" w:hAnsi="Calibri" w:eastAsia="Songti SC"/>
                <w:color w:val="000000"/>
                <w:sz w:val="20"/>
              </w:rPr>
              <w:t>Valid consent, authority and version; termination preserves existing outstanding obligations</w:t>
            </w:r>
          </w:p>
        </w:tc>
      </w:tr>
      <w:tr>
        <w:trPr>
          <w:cantSplit/>
        </w:trPr>
        <w:tc>
          <w:tcPr>
            <w:tcW w:type="dxa" w:w="1512"/>
            <w:vAlign w:val="center"/>
            <w:shd w:fill="FFFFFF"/>
          </w:tcPr>
          <w:p>
            <w:pPr>
              <w:spacing w:after="0" w:before="0" w:line="259" w:lineRule="auto"/>
            </w:pPr>
            <w:r>
              <w:rPr>
                <w:rFonts w:ascii="Calibri" w:hAnsi="Calibri" w:eastAsia="Songti SC"/>
                <w:color w:val="000000"/>
                <w:sz w:val="20"/>
              </w:rPr>
              <w:t>Performance</w:t>
            </w:r>
          </w:p>
        </w:tc>
        <w:tc>
          <w:tcPr>
            <w:tcW w:type="dxa" w:w="4176"/>
            <w:vAlign w:val="center"/>
            <w:shd w:fill="FFFFFF"/>
          </w:tcPr>
          <w:p>
            <w:pPr>
              <w:spacing w:after="0" w:before="0" w:line="259" w:lineRule="auto"/>
            </w:pPr>
            <w:r>
              <w:rPr>
                <w:rFonts w:ascii="Calibri" w:hAnsi="Calibri" w:eastAsia="Songti SC"/>
                <w:color w:val="000000"/>
                <w:sz w:val="20"/>
              </w:rPr>
              <w:t>NOT_STARTED  IN_PROGRESS  DELIVERED  ACCEPTED  REJECTED</w:t>
            </w:r>
          </w:p>
        </w:tc>
        <w:tc>
          <w:tcPr>
            <w:tcW w:type="dxa" w:w="4392"/>
            <w:vAlign w:val="center"/>
            <w:shd w:fill="FFFFFF"/>
          </w:tcPr>
          <w:p>
            <w:pPr>
              <w:spacing w:after="0" w:before="0" w:line="259" w:lineRule="auto"/>
            </w:pPr>
            <w:r>
              <w:rPr>
                <w:rFonts w:ascii="Calibri" w:hAnsi="Calibri" w:eastAsia="Songti SC"/>
                <w:color w:val="000000"/>
                <w:sz w:val="20"/>
              </w:rPr>
              <w:t>Delivery and acceptance recorded by obligation or batch; partial acceptance retains quantities</w:t>
            </w:r>
          </w:p>
        </w:tc>
      </w:tr>
      <w:tr>
        <w:trPr>
          <w:cantSplit/>
        </w:trPr>
        <w:tc>
          <w:tcPr>
            <w:tcW w:type="dxa" w:w="1512"/>
            <w:vAlign w:val="center"/>
            <w:shd w:fill="FFFFFF"/>
          </w:tcPr>
          <w:p>
            <w:pPr>
              <w:spacing w:after="0" w:before="0" w:line="259" w:lineRule="auto"/>
            </w:pPr>
            <w:r>
              <w:rPr>
                <w:rFonts w:ascii="Calibri" w:hAnsi="Calibri" w:eastAsia="Songti SC"/>
                <w:color w:val="000000"/>
                <w:sz w:val="20"/>
              </w:rPr>
              <w:t>Payment execution</w:t>
            </w:r>
          </w:p>
        </w:tc>
        <w:tc>
          <w:tcPr>
            <w:tcW w:type="dxa" w:w="4176"/>
            <w:vAlign w:val="center"/>
            <w:shd w:fill="FFFFFF"/>
          </w:tcPr>
          <w:p>
            <w:pPr>
              <w:spacing w:after="0" w:before="0" w:line="259" w:lineRule="auto"/>
            </w:pPr>
            <w:r>
              <w:rPr>
                <w:rFonts w:ascii="Calibri" w:hAnsi="Calibri" w:eastAsia="Songti SC"/>
                <w:color w:val="000000"/>
                <w:sz w:val="20"/>
              </w:rPr>
              <w:t>UNPAID  RESERVED  SUBMITTED  CONFIRMED  OUTCOME_UNKNOWN</w:t>
            </w:r>
          </w:p>
        </w:tc>
        <w:tc>
          <w:tcPr>
            <w:tcW w:type="dxa" w:w="4392"/>
            <w:vAlign w:val="center"/>
            <w:shd w:fill="FFFFFF"/>
          </w:tcPr>
          <w:p>
            <w:pPr>
              <w:spacing w:after="0" w:before="0" w:line="259" w:lineRule="auto"/>
            </w:pPr>
            <w:r>
              <w:rPr>
                <w:rFonts w:ascii="Calibri" w:hAnsi="Calibri" w:eastAsia="Songti SC"/>
                <w:color w:val="000000"/>
                <w:sz w:val="20"/>
              </w:rPr>
              <w:t>CONFIRMED refers only to a reconciled execution effect on the specified payment rail; it does not imply discharge</w:t>
            </w:r>
          </w:p>
        </w:tc>
      </w:tr>
      <w:tr>
        <w:trPr>
          <w:cantSplit/>
        </w:trPr>
        <w:tc>
          <w:tcPr>
            <w:tcW w:type="dxa" w:w="1512"/>
            <w:vAlign w:val="center"/>
            <w:shd w:fill="FFFFFF"/>
          </w:tcPr>
          <w:p>
            <w:pPr>
              <w:spacing w:after="0" w:before="0" w:line="259" w:lineRule="auto"/>
            </w:pPr>
            <w:r>
              <w:rPr>
                <w:rFonts w:ascii="Calibri" w:hAnsi="Calibri" w:eastAsia="Songti SC"/>
                <w:color w:val="000000"/>
                <w:sz w:val="20"/>
              </w:rPr>
              <w:t>Receipt and discharge</w:t>
            </w:r>
          </w:p>
        </w:tc>
        <w:tc>
          <w:tcPr>
            <w:tcW w:type="dxa" w:w="4176"/>
            <w:vAlign w:val="center"/>
            <w:shd w:fill="FFFFFF"/>
          </w:tcPr>
          <w:p>
            <w:pPr>
              <w:spacing w:after="0" w:before="0" w:line="259" w:lineRule="auto"/>
            </w:pPr>
            <w:r>
              <w:rPr>
                <w:rFonts w:ascii="Calibri" w:hAnsi="Calibri" w:eastAsia="Songti SC"/>
                <w:color w:val="000000"/>
                <w:sz w:val="20"/>
              </w:rPr>
              <w:t>UNRECONCILED  PARTIALLY_APPLIED  APPLIED</w:t>
            </w:r>
          </w:p>
        </w:tc>
        <w:tc>
          <w:tcPr>
            <w:tcW w:type="dxa" w:w="4392"/>
            <w:vAlign w:val="center"/>
            <w:shd w:fill="FFFFFF"/>
          </w:tcPr>
          <w:p>
            <w:pPr>
              <w:spacing w:after="0" w:before="0" w:line="259" w:lineRule="auto"/>
            </w:pPr>
            <w:r>
              <w:rPr>
                <w:rFonts w:ascii="Calibri" w:hAnsi="Calibri" w:eastAsia="Songti SC"/>
                <w:color w:val="000000"/>
                <w:sz w:val="20"/>
              </w:rPr>
              <w:t>Receipt evidence, availability and reversal conditions, basis for discharge and attribution to each obligation are recorded separately</w:t>
            </w:r>
          </w:p>
        </w:tc>
      </w:tr>
      <w:tr>
        <w:trPr>
          <w:cantSplit/>
        </w:trPr>
        <w:tc>
          <w:tcPr>
            <w:tcW w:type="dxa" w:w="1512"/>
            <w:vAlign w:val="center"/>
            <w:shd w:fill="FFFFFF"/>
          </w:tcPr>
          <w:p>
            <w:pPr>
              <w:spacing w:after="0" w:before="0" w:line="259" w:lineRule="auto"/>
            </w:pPr>
            <w:r>
              <w:rPr>
                <w:rFonts w:ascii="Calibri" w:hAnsi="Calibri" w:eastAsia="Songti SC"/>
                <w:color w:val="000000"/>
                <w:sz w:val="20"/>
              </w:rPr>
              <w:t>Dispute</w:t>
            </w:r>
          </w:p>
        </w:tc>
        <w:tc>
          <w:tcPr>
            <w:tcW w:type="dxa" w:w="4176"/>
            <w:vAlign w:val="center"/>
            <w:shd w:fill="FFFFFF"/>
          </w:tcPr>
          <w:p>
            <w:pPr>
              <w:spacing w:after="0" w:before="0" w:line="259" w:lineRule="auto"/>
            </w:pPr>
            <w:r>
              <w:rPr>
                <w:rFonts w:ascii="Calibri" w:hAnsi="Calibri" w:eastAsia="Songti SC"/>
                <w:color w:val="000000"/>
                <w:sz w:val="20"/>
              </w:rPr>
              <w:t>NONE  OPEN  RESOLVED  REOPENED</w:t>
            </w:r>
          </w:p>
        </w:tc>
        <w:tc>
          <w:tcPr>
            <w:tcW w:type="dxa" w:w="4392"/>
            <w:vAlign w:val="center"/>
            <w:shd w:fill="FFFFFF"/>
          </w:tcPr>
          <w:p>
            <w:pPr>
              <w:spacing w:after="0" w:before="0" w:line="259" w:lineRule="auto"/>
            </w:pPr>
            <w:r>
              <w:rPr>
                <w:rFonts w:ascii="Calibri" w:hAnsi="Calibri" w:eastAsia="Songti SC"/>
                <w:color w:val="000000"/>
                <w:sz w:val="20"/>
              </w:rPr>
              <w:t>Initiating party, scope, interim measures, basis of decision and routes to remedy</w:t>
            </w:r>
          </w:p>
        </w:tc>
      </w:tr>
    </w:tbl>
    <w:p>
      <w:pPr>
        <w:widowControl/>
        <w:spacing w:after="20"/>
      </w:pPr>
    </w:p>
    <w:p>
      <w:pPr>
        <w:pStyle w:val="Heading2"/>
        <w:widowControl/>
      </w:pPr>
      <w:r>
        <w:rPr>
          <w:rFonts w:ascii="Calibri" w:hAnsi="Calibri" w:eastAsia="Songti SC"/>
          <w:color w:val="000000"/>
        </w:rPr>
        <w:t>4 3 Delivery Acceptance and Separately Authorized Settlement</w:t>
      </w:r>
    </w:p>
    <w:p>
      <w:pPr>
        <w:widowControl/>
      </w:pPr>
      <w:r>
        <w:rPr>
          <w:rFonts w:ascii="Calibri" w:hAnsi="Calibri" w:eastAsia="Songti SC"/>
          <w:color w:val="000000"/>
        </w:rPr>
        <w:t>N05 Delivery and acceptance. An implementation MUST separately retain the delivery claim, supporting evidence, verification receipt and the AcceptanceRecord of an authorized acceptance party, fixing the object version, quantity, quality metrics, acceptance deadline and objection rules. TrustReceipt establishes only the result of verification against specified rules. Automatic acceptance requires prior agreement on its trigger conditions and authority; neither a lack of response nor a successful on-chain write may by itself constitute acceptance. Delivery in batches and partial acceptance use separate obligations or explicitly defined subscopes. Partial acceptance uses a unique portionId to bind its subscope, quantity and allocation to a payable. Repeated acceptance records for the same delivery scope must not count quantities or create payables more than once.</w:t>
      </w:r>
    </w:p>
    <w:p>
      <w:pPr>
        <w:widowControl/>
      </w:pPr>
      <w:r>
        <w:rPr>
          <w:rFonts w:ascii="Calibri" w:hAnsi="Calibri" w:eastAsia="Songti SC"/>
          <w:color w:val="000000"/>
        </w:rPr>
        <w:t>N06 Separate funds execution. Payment MUST be triggered by effective payment terms and current authority. Advance payments, installments and final payments due on acceptance each identify their trigger conditions. For the same obligationId, confirmed discharge and pending payments that could still take effect must not together exceed the approved payable amount. OUTCOME_UNKNOWN retains the reservation for reconciliation. Refunds, compensation and reversals create new obligations or adjustment records referencing the original record and execute under appropriate authority; they do not delete the original payment fact. Within the funds dimension, an implementation MUST record paymentInstructionState, fundsReceiptState and obligationDischargeState separately and retain the basis for each confirmation. CONFIRMED refers only to the confirmed execution record. Receipt of funds, the amount discharged and reversibility are reconciled separately under the contract, payment channel and applicable rules; chain confirmation must not replace those determinations. Amounts confirmed on the payment rail but awaiting attribution of the received funds or reconciliation of discharge continue to count against the original obligation's payment limit. Each amount is assigned to one mutually exclusive state category under a unique paymentAttemptId; execution confirmation must not release allowance before discharge is recorded. The amount counted against the limit includes discharged amounts, executed payments awaiting attribution and other payments that could still take effect. Their total must not exceed the approved payable amount.</w:t>
      </w:r>
    </w:p>
    <w:p>
      <w:pPr>
        <w:widowControl/>
      </w:pPr>
      <w:r>
        <w:rPr>
          <w:rFonts w:ascii="Calibri" w:hAnsi="Calibri" w:eastAsia="Songti SC"/>
          <w:color w:val="000000"/>
        </w:rPr>
        <w:t>DCNFT connects facility-series rights documents and actual distributable cash; $RWAIX connects approved network fees, bonds and rewards. Customer purchase payments, facility financing, network fees and node rewards each have their own creditors and funding basis. The core transaction interface permits other payment methods under lawful configurations. Asset transfers may be described as atomic exchanges only within the same executable atomic boundary. Processes spanning chains, banks and physical delivery must state their timing gaps, failure handling and compensation mechanisms rather than advertise end-to-end risk-free atomic settlement.</w:t>
      </w:r>
    </w:p>
    <w:p>
      <w:pPr>
        <w:pStyle w:val="Heading2"/>
        <w:widowControl/>
      </w:pPr>
      <w:r>
        <w:rPr>
          <w:rFonts w:ascii="Calibri" w:hAnsi="Calibri" w:eastAsia="Songti SC"/>
          <w:color w:val="000000"/>
        </w:rPr>
        <w:t>4 4 Dispute Remedies and Preservation of Records</w:t>
      </w:r>
    </w:p>
    <w:p>
      <w:pPr>
        <w:widowControl/>
      </w:pPr>
      <w:r>
        <w:rPr>
          <w:rFonts w:ascii="Calibri" w:hAnsi="Calibri" w:eastAsia="Songti SC"/>
          <w:color w:val="000000"/>
        </w:rPr>
        <w:t>N07 Disputes and remedies. An implementation MUST record in DisputeRecord the initiating party, affected obligations and amounts, reasons, evidence deadlines and supplementation rules, decision-making authority, notices and routes to remedy. Pausing, releasing bonds, imposing penalties and adjusting payments each require verification of authority. Separable undisputed obligations continue under their own rules. Timeout handling requires an explicit basis agreed in advance; silence must not automatically be interpreted as an admission of breach.</w:t>
      </w:r>
    </w:p>
    <w:p>
      <w:pPr>
        <w:widowControl/>
      </w:pPr>
      <w:r>
        <w:rPr>
          <w:rFonts w:ascii="Calibri" w:hAnsi="Calibri" w:eastAsia="Songti SC"/>
          <w:color w:val="000000"/>
        </w:rPr>
        <w:t>On-chain technical finality, settlement confirmation and legal finality are recorded separately. RESOLVED means only that the designated process has addressed the matter within its authority and scope; it does not necessarily preclude objections, review or remedies under applicable law. A terminated or settled transaction can still receive appended records arising from a valid dispute, correction of an error or a decision of a competent authority. Corrections preserve the original evidence and complete reference relationships. Electronic transferable records involve additional requirements concerning reliability, integrity and control. An NFT identifier or on-chain holding alone cannot establish their legal effect; the relevant profile should be determined separately for the local legislation and specific document. [S25] MLETR is a model law; its 2017 text excludes securities such as shares and bonds, and other investment instruments. This protocol does not use it as a basis for DCNFT issuance, transfer or legality.</w:t>
      </w:r>
    </w:p>
    <w:p>
      <w:pPr>
        <w:widowControl/>
      </w:pPr>
      <w:r>
        <w:rPr>
          <w:rFonts w:ascii="Calibri" w:hAnsi="Calibri" w:eastAsia="Songti SC"/>
          <w:color w:val="000000"/>
        </w:rPr>
        <w:t>N08 Data and recoverability. An implementation MUST limit collection and disclosure and define evidence access, retention periods, handling of legally required deletion or preservation, and recovery procedures. Public logs use necessary commitments and controlled references; avoidable sensitive source content must not be written to them. A signature or hash does not ensure data availability. When evidence needed for verification cannot be recovered, the system should report an indeterminate or unverifiable result rather than represent it as valid proof.</w:t>
      </w:r>
    </w:p>
    <w:p>
      <w:pPr>
        <w:pStyle w:val="Heading1"/>
        <w:widowControl/>
      </w:pPr>
      <w:r>
        <w:rPr>
          <w:rFonts w:ascii="Calibri" w:hAnsi="Calibri" w:eastAsia="Songti SC"/>
          <w:color w:val="000000"/>
        </w:rPr>
        <w:t>5 Interoperability and Conformance Testing</w:t>
      </w:r>
    </w:p>
    <w:p>
      <w:pPr>
        <w:widowControl/>
      </w:pPr>
      <w:r>
        <w:rPr>
          <w:rFonts w:ascii="Calibri" w:hAnsi="Calibri" w:eastAsia="Songti SC"/>
          <w:color w:val="000000"/>
        </w:rPr>
        <w:t>Conformance claims are limited to a specific version, profile, role and module. Verifiers, executors, industry adapters and economic modules have different responsibilities. Selecting an optional module does not remove its dependent core requirements. DCNFT and $RWAIX form RWAIX's economic design; basic transaction and evidence interoperability must not require token holdings or investment subscriptions by default.</w:t>
      </w:r>
    </w:p>
    <w:p>
      <w:pPr>
        <w:pStyle w:val="Heading2"/>
        <w:widowControl/>
      </w:pPr>
      <w:r>
        <w:rPr>
          <w:rFonts w:ascii="Calibri" w:hAnsi="Calibri" w:eastAsia="Songti SC"/>
          <w:color w:val="000000"/>
        </w:rPr>
        <w:t>5 1 Role Scope and Version Negotiation</w:t>
      </w:r>
    </w:p>
    <w:p>
      <w:pPr>
        <w:widowControl/>
      </w:pPr>
      <w:r>
        <w:rPr>
          <w:rFonts w:ascii="Calibri" w:hAnsi="Calibri" w:eastAsia="Songti SC"/>
          <w:color w:val="000000"/>
        </w:rPr>
        <w:t>N09 Interoperability with Explicit Semantics. A receiving party MUST check both parties' capability manifests, versions, critical extensions and semantic mappings. Unsupported required fields or conditions must be explicitly rejected rather than silently discarded or automatically downgraded. The behavior of optional extensions may be ignored, while the original signed content is retained under the signature rules. Exchanges across industries must preserve roles, rights types, currencies and units, acceptance conditions, dispute states and original provenance.</w:t>
      </w:r>
    </w:p>
    <w:p>
      <w:pPr>
        <w:widowControl/>
      </w:pPr>
      <w:r>
        <w:rPr>
          <w:rFonts w:ascii="Calibri" w:hAnsi="Calibri" w:eastAsia="Songti SC"/>
          <w:color w:val="000000"/>
        </w:rPr>
        <w:t>Verifiers are responsible for evidence, status and policy results; executors for current authority, funds or operational boundaries, and reconciliation; industry adapters for mapping external facts and identifying what they cannot guarantee; and economic modules for the relevant rights, fee, bond and reward rules. An implementation may perform only one of these roles, but must declare functionality it does not implement. A verification service's conformance report cannot substitute for conclusions about an executor or asset issuer.</w:t>
      </w:r>
    </w:p>
    <w:p>
      <w:pPr>
        <w:pStyle w:val="Heading2"/>
        <w:widowControl/>
      </w:pPr>
      <w:r>
        <w:rPr>
          <w:rFonts w:ascii="Calibri" w:hAnsi="Calibri" w:eastAsia="Songti SC"/>
          <w:color w:val="000000"/>
        </w:rPr>
        <w:t>5 2 Rule Vectors and Reviewable Tests</w:t>
      </w:r>
    </w:p>
    <w:p>
      <w:pPr>
        <w:widowControl/>
      </w:pPr>
      <w:r>
        <w:rPr>
          <w:rFonts w:ascii="Calibri" w:hAnsi="Calibri" w:eastAsia="Songti SC"/>
          <w:color w:val="000000"/>
        </w:rPr>
        <w:t>N10 Evidence of conformance. An implementation claiming conformance to a frozen profile of this proposal MUST provide a ConformanceManifest identifying specification and profile versions, a code or build digest, roles, enabled modules, dependencies and trust roots, the test-package version, results and known limitations. MUST requirements cannot be recorded as passed through an exemption. Deviations from SHOULD requirements must explain their reasons and interoperability impact. Modules not yet implemented or tested are marked as unevaluated.</w:t>
      </w:r>
    </w:p>
    <w:p>
      <w:pPr>
        <w:widowControl/>
      </w:pPr>
      <w:r>
        <w:rPr>
          <w:rFonts w:ascii="Calibri" w:hAnsi="Calibri" w:eastAsia="Songti SC"/>
          <w:color w:val="000000"/>
        </w:rPr>
        <w:t>Test vectors fix inputs, authority and state snapshots, expected events and results, permitted side effects and prohibited changes. The matrix below gives the minimum categories of negative tests. A complete test package must also cover valid paths, interactions at boundaries, concurrency and recovery. A conformance claim for a specified scope requires every applicable mandatory assertion in the same frozen test set to pass; this does not establish the absence of unknown attacks. On-site claims with valid signatures but false content require industry sampling to assess false-acceptance rates; format tests alone cannot guarantee their detection.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936"/>
        <w:gridCol w:w="3816"/>
        <w:gridCol w:w="5328"/>
      </w:tblGrid>
      <w:tr>
        <w:trPr>
          <w:cantSplit/>
          <w:tblHeader/>
        </w:trPr>
        <w:tc>
          <w:tcPr>
            <w:tcW w:type="dxa" w:w="936"/>
            <w:vAlign w:val="center"/>
            <w:shd w:fill="E7EDF2"/>
          </w:tcPr>
          <w:p>
            <w:pPr>
              <w:spacing w:after="0" w:before="0" w:line="259" w:lineRule="auto"/>
              <w:jc w:val="center"/>
            </w:pPr>
            <w:r>
              <w:rPr>
                <w:rFonts w:ascii="Calibri" w:hAnsi="Calibri" w:eastAsia="Songti SC"/>
                <w:b/>
                <w:color w:val="000000"/>
                <w:sz w:val="20"/>
              </w:rPr>
              <w:t>Rule</w:t>
            </w:r>
          </w:p>
        </w:tc>
        <w:tc>
          <w:tcPr>
            <w:tcW w:type="dxa" w:w="3816"/>
            <w:vAlign w:val="center"/>
            <w:shd w:fill="E7EDF2"/>
          </w:tcPr>
          <w:p>
            <w:pPr>
              <w:spacing w:after="0" w:before="0" w:line="259" w:lineRule="auto"/>
            </w:pPr>
            <w:r>
              <w:rPr>
                <w:rFonts w:ascii="Calibri" w:hAnsi="Calibri" w:eastAsia="Songti SC"/>
                <w:b/>
                <w:color w:val="000000"/>
                <w:sz w:val="20"/>
              </w:rPr>
              <w:t>Negative Test or Injected Failure</w:t>
            </w:r>
          </w:p>
        </w:tc>
        <w:tc>
          <w:tcPr>
            <w:tcW w:type="dxa" w:w="5328"/>
            <w:vAlign w:val="center"/>
            <w:shd w:fill="E7EDF2"/>
          </w:tcPr>
          <w:p>
            <w:pPr>
              <w:spacing w:after="0" w:before="0" w:line="259" w:lineRule="auto"/>
            </w:pPr>
            <w:r>
              <w:rPr>
                <w:rFonts w:ascii="Calibri" w:hAnsi="Calibri" w:eastAsia="Songti SC"/>
                <w:b/>
                <w:color w:val="000000"/>
                <w:sz w:val="20"/>
              </w:rPr>
              <w:t>Required Observable Result</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N01</w:t>
            </w:r>
          </w:p>
        </w:tc>
        <w:tc>
          <w:tcPr>
            <w:tcW w:type="dxa" w:w="3816"/>
            <w:vAlign w:val="center"/>
            <w:shd w:fill="FFFFFF"/>
          </w:tcPr>
          <w:p>
            <w:pPr>
              <w:spacing w:after="0" w:before="0" w:line="259" w:lineRule="auto"/>
            </w:pPr>
            <w:r>
              <w:rPr>
                <w:rFonts w:ascii="Calibri" w:hAnsi="Calibri" w:eastAsia="Songti SC"/>
                <w:color w:val="000000"/>
                <w:sz w:val="20"/>
              </w:rPr>
              <w:t>Unauthorized change of currency, unit or terms digest</w:t>
            </w:r>
          </w:p>
        </w:tc>
        <w:tc>
          <w:tcPr>
            <w:tcW w:type="dxa" w:w="5328"/>
            <w:vAlign w:val="center"/>
            <w:shd w:fill="FFFFFF"/>
          </w:tcPr>
          <w:p>
            <w:pPr>
              <w:spacing w:after="0" w:before="0" w:line="259" w:lineRule="auto"/>
            </w:pPr>
            <w:r>
              <w:rPr>
                <w:rFonts w:ascii="Calibri" w:hAnsi="Calibri" w:eastAsia="Songti SC"/>
                <w:color w:val="000000"/>
                <w:sz w:val="20"/>
              </w:rPr>
              <w:t>Ambiguous input rejected; no new obligation or debit created</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N02</w:t>
            </w:r>
          </w:p>
        </w:tc>
        <w:tc>
          <w:tcPr>
            <w:tcW w:type="dxa" w:w="3816"/>
            <w:vAlign w:val="center"/>
            <w:shd w:fill="FFFFFF"/>
          </w:tcPr>
          <w:p>
            <w:pPr>
              <w:spacing w:after="0" w:before="0" w:line="259" w:lineRule="auto"/>
            </w:pPr>
            <w:r>
              <w:rPr>
                <w:rFonts w:ascii="Calibri" w:hAnsi="Calibri" w:eastAsia="Songti SC"/>
                <w:color w:val="000000"/>
                <w:sz w:val="20"/>
              </w:rPr>
              <w:t>Agent exceeds authority or delegated authority has been revoked</w:t>
            </w:r>
          </w:p>
        </w:tc>
        <w:tc>
          <w:tcPr>
            <w:tcW w:type="dxa" w:w="5328"/>
            <w:vAlign w:val="center"/>
            <w:shd w:fill="FFFFFF"/>
          </w:tcPr>
          <w:p>
            <w:pPr>
              <w:spacing w:after="0" w:before="0" w:line="259" w:lineRule="auto"/>
            </w:pPr>
            <w:r>
              <w:rPr>
                <w:rFonts w:ascii="Calibri" w:hAnsi="Calibri" w:eastAsia="Songti SC"/>
                <w:color w:val="000000"/>
                <w:sz w:val="20"/>
              </w:rPr>
              <w:t>Action with side effects rejected; reason code retained</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N03</w:t>
            </w:r>
          </w:p>
        </w:tc>
        <w:tc>
          <w:tcPr>
            <w:tcW w:type="dxa" w:w="3816"/>
            <w:vAlign w:val="center"/>
            <w:shd w:fill="FFFFFF"/>
          </w:tcPr>
          <w:p>
            <w:pPr>
              <w:spacing w:after="0" w:before="0" w:line="259" w:lineRule="auto"/>
            </w:pPr>
            <w:r>
              <w:rPr>
                <w:rFonts w:ascii="Calibri" w:hAnsi="Calibri" w:eastAsia="Songti SC"/>
                <w:color w:val="000000"/>
                <w:sz w:val="20"/>
              </w:rPr>
              <w:t>Old consent reused for changed transaction terms</w:t>
            </w:r>
          </w:p>
        </w:tc>
        <w:tc>
          <w:tcPr>
            <w:tcW w:type="dxa" w:w="5328"/>
            <w:vAlign w:val="center"/>
            <w:shd w:fill="FFFFFF"/>
          </w:tcPr>
          <w:p>
            <w:pPr>
              <w:spacing w:after="0" w:before="0" w:line="259" w:lineRule="auto"/>
            </w:pPr>
            <w:r>
              <w:rPr>
                <w:rFonts w:ascii="Calibri" w:hAnsi="Calibri" w:eastAsia="Songti SC"/>
                <w:color w:val="000000"/>
                <w:sz w:val="20"/>
              </w:rPr>
              <w:t>New terms do not take effect; existing obligations and evidence of consent remain</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N04</w:t>
            </w:r>
          </w:p>
        </w:tc>
        <w:tc>
          <w:tcPr>
            <w:tcW w:type="dxa" w:w="3816"/>
            <w:vAlign w:val="center"/>
            <w:shd w:fill="FFFFFF"/>
          </w:tcPr>
          <w:p>
            <w:pPr>
              <w:spacing w:after="0" w:before="0" w:line="259" w:lineRule="auto"/>
            </w:pPr>
            <w:r>
              <w:rPr>
                <w:rFonts w:ascii="Calibri" w:hAnsi="Calibri" w:eastAsia="Songti SC"/>
                <w:color w:val="000000"/>
                <w:sz w:val="20"/>
              </w:rPr>
              <w:t>Duplicate, out-of-order or conflicting events</w:t>
            </w:r>
          </w:p>
        </w:tc>
        <w:tc>
          <w:tcPr>
            <w:tcW w:type="dxa" w:w="5328"/>
            <w:vAlign w:val="center"/>
            <w:shd w:fill="FFFFFF"/>
          </w:tcPr>
          <w:p>
            <w:pPr>
              <w:spacing w:after="0" w:before="0" w:line="259" w:lineRule="auto"/>
            </w:pPr>
            <w:r>
              <w:rPr>
                <w:rFonts w:ascii="Calibri" w:hAnsi="Calibri" w:eastAsia="Songti SC"/>
                <w:color w:val="000000"/>
                <w:sz w:val="20"/>
              </w:rPr>
              <w:t>No duplicate state side effects; reconciliation or pause remains traceable</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N05</w:t>
            </w:r>
          </w:p>
        </w:tc>
        <w:tc>
          <w:tcPr>
            <w:tcW w:type="dxa" w:w="3816"/>
            <w:vAlign w:val="center"/>
            <w:shd w:fill="FFFFFF"/>
          </w:tcPr>
          <w:p>
            <w:pPr>
              <w:spacing w:after="0" w:before="0" w:line="259" w:lineRule="auto"/>
            </w:pPr>
            <w:r>
              <w:rPr>
                <w:rFonts w:ascii="Calibri" w:hAnsi="Calibri" w:eastAsia="Songti SC"/>
                <w:color w:val="000000"/>
                <w:sz w:val="20"/>
              </w:rPr>
              <w:t>Mismatched signature or digest, missing evidence or acceptance without authority</w:t>
            </w:r>
          </w:p>
        </w:tc>
        <w:tc>
          <w:tcPr>
            <w:tcW w:type="dxa" w:w="5328"/>
            <w:vAlign w:val="center"/>
            <w:shd w:fill="FFFFFF"/>
          </w:tcPr>
          <w:p>
            <w:pPr>
              <w:spacing w:after="0" w:before="0" w:line="259" w:lineRule="auto"/>
            </w:pPr>
            <w:r>
              <w:rPr>
                <w:rFonts w:ascii="Calibri" w:hAnsi="Calibri" w:eastAsia="Songti SC"/>
                <w:color w:val="000000"/>
                <w:sz w:val="20"/>
              </w:rPr>
              <w:t>Invalid proof and unauthorized acceptance rejected; missing evidence returns an indeterminate result</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N06</w:t>
            </w:r>
          </w:p>
        </w:tc>
        <w:tc>
          <w:tcPr>
            <w:tcW w:type="dxa" w:w="3816"/>
            <w:vAlign w:val="center"/>
            <w:shd w:fill="FFFFFF"/>
          </w:tcPr>
          <w:p>
            <w:pPr>
              <w:spacing w:after="0" w:before="0" w:line="259" w:lineRule="auto"/>
            </w:pPr>
            <w:r>
              <w:rPr>
                <w:rFonts w:ascii="Calibri" w:hAnsi="Calibri" w:eastAsia="Songti SC"/>
                <w:color w:val="000000"/>
                <w:sz w:val="20"/>
              </w:rPr>
              <w:t>Cross-asset resubmission after an unknown payment outcome or an executed payment awaiting attribution</w:t>
            </w:r>
          </w:p>
        </w:tc>
        <w:tc>
          <w:tcPr>
            <w:tcW w:type="dxa" w:w="5328"/>
            <w:vAlign w:val="center"/>
            <w:shd w:fill="FFFFFF"/>
          </w:tcPr>
          <w:p>
            <w:pPr>
              <w:spacing w:after="0" w:before="0" w:line="259" w:lineRule="auto"/>
            </w:pPr>
            <w:r>
              <w:rPr>
                <w:rFonts w:ascii="Calibri" w:hAnsi="Calibri" w:eastAsia="Songti SC"/>
                <w:color w:val="000000"/>
                <w:sz w:val="20"/>
              </w:rPr>
              <w:t>Relevant amounts remain counted against the payment limit; no duplicate payment or premature release</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N07</w:t>
            </w:r>
          </w:p>
        </w:tc>
        <w:tc>
          <w:tcPr>
            <w:tcW w:type="dxa" w:w="3816"/>
            <w:vAlign w:val="center"/>
            <w:shd w:fill="FFFFFF"/>
          </w:tcPr>
          <w:p>
            <w:pPr>
              <w:spacing w:after="0" w:before="0" w:line="259" w:lineRule="auto"/>
            </w:pPr>
            <w:r>
              <w:rPr>
                <w:rFonts w:ascii="Calibri" w:hAnsi="Calibri" w:eastAsia="Songti SC"/>
                <w:color w:val="000000"/>
                <w:sz w:val="20"/>
              </w:rPr>
              <w:t>Penalty without authority or a dispute affecting only part of the amount</w:t>
            </w:r>
          </w:p>
        </w:tc>
        <w:tc>
          <w:tcPr>
            <w:tcW w:type="dxa" w:w="5328"/>
            <w:vAlign w:val="center"/>
            <w:shd w:fill="FFFFFF"/>
          </w:tcPr>
          <w:p>
            <w:pPr>
              <w:spacing w:after="0" w:before="0" w:line="259" w:lineRule="auto"/>
            </w:pPr>
            <w:r>
              <w:rPr>
                <w:rFonts w:ascii="Calibri" w:hAnsi="Calibri" w:eastAsia="Songti SC"/>
                <w:color w:val="000000"/>
                <w:sz w:val="20"/>
              </w:rPr>
              <w:t>Unauthorized disposition rejected; interim measures recorded for the affected scope</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N08</w:t>
            </w:r>
          </w:p>
        </w:tc>
        <w:tc>
          <w:tcPr>
            <w:tcW w:type="dxa" w:w="3816"/>
            <w:vAlign w:val="center"/>
            <w:shd w:fill="FFFFFF"/>
          </w:tcPr>
          <w:p>
            <w:pPr>
              <w:spacing w:after="0" w:before="0" w:line="259" w:lineRule="auto"/>
            </w:pPr>
            <w:r>
              <w:rPr>
                <w:rFonts w:ascii="Calibri" w:hAnsi="Calibri" w:eastAsia="Songti SC"/>
                <w:color w:val="000000"/>
                <w:sz w:val="20"/>
              </w:rPr>
              <w:t>Required evidence unavailable or disclosure requested for an unauthorized recipient</w:t>
            </w:r>
          </w:p>
        </w:tc>
        <w:tc>
          <w:tcPr>
            <w:tcW w:type="dxa" w:w="5328"/>
            <w:vAlign w:val="center"/>
            <w:shd w:fill="FFFFFF"/>
          </w:tcPr>
          <w:p>
            <w:pPr>
              <w:spacing w:after="0" w:before="0" w:line="259" w:lineRule="auto"/>
            </w:pPr>
            <w:r>
              <w:rPr>
                <w:rFonts w:ascii="Calibri" w:hAnsi="Calibri" w:eastAsia="Songti SC"/>
                <w:color w:val="000000"/>
                <w:sz w:val="20"/>
              </w:rPr>
              <w:t>No affirmative conclusion without required evidence; unauthorized disclosure through controlled interfaces blocked and logged</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N09</w:t>
            </w:r>
          </w:p>
        </w:tc>
        <w:tc>
          <w:tcPr>
            <w:tcW w:type="dxa" w:w="3816"/>
            <w:vAlign w:val="center"/>
            <w:shd w:fill="FFFFFF"/>
          </w:tcPr>
          <w:p>
            <w:pPr>
              <w:spacing w:after="0" w:before="0" w:line="259" w:lineRule="auto"/>
            </w:pPr>
            <w:r>
              <w:rPr>
                <w:rFonts w:ascii="Calibri" w:hAnsi="Calibri" w:eastAsia="Songti SC"/>
                <w:color w:val="000000"/>
                <w:sz w:val="20"/>
              </w:rPr>
              <w:t>Unknown critical extension or semantic loss</w:t>
            </w:r>
          </w:p>
        </w:tc>
        <w:tc>
          <w:tcPr>
            <w:tcW w:type="dxa" w:w="5328"/>
            <w:vAlign w:val="center"/>
            <w:shd w:fill="FFFFFF"/>
          </w:tcPr>
          <w:p>
            <w:pPr>
              <w:spacing w:after="0" w:before="0" w:line="259" w:lineRule="auto"/>
            </w:pPr>
            <w:r>
              <w:rPr>
                <w:rFonts w:ascii="Calibri" w:hAnsi="Calibri" w:eastAsia="Songti SC"/>
                <w:color w:val="000000"/>
                <w:sz w:val="20"/>
              </w:rPr>
              <w:t>Explicit rejection; no fabricated compatibility through default values</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N10</w:t>
            </w:r>
          </w:p>
        </w:tc>
        <w:tc>
          <w:tcPr>
            <w:tcW w:type="dxa" w:w="3816"/>
            <w:vAlign w:val="center"/>
            <w:shd w:fill="FFFFFF"/>
          </w:tcPr>
          <w:p>
            <w:pPr>
              <w:spacing w:after="0" w:before="0" w:line="259" w:lineRule="auto"/>
            </w:pPr>
            <w:r>
              <w:rPr>
                <w:rFonts w:ascii="Calibri" w:hAnsi="Calibri" w:eastAsia="Songti SC"/>
                <w:color w:val="000000"/>
                <w:sz w:val="20"/>
              </w:rPr>
              <w:t>Untested module or false claim of comprehensive certification</w:t>
            </w:r>
          </w:p>
        </w:tc>
        <w:tc>
          <w:tcPr>
            <w:tcW w:type="dxa" w:w="5328"/>
            <w:vAlign w:val="center"/>
            <w:shd w:fill="FFFFFF"/>
          </w:tcPr>
          <w:p>
            <w:pPr>
              <w:spacing w:after="0" w:before="0" w:line="259" w:lineRule="auto"/>
            </w:pPr>
            <w:r>
              <w:rPr>
                <w:rFonts w:ascii="Calibri" w:hAnsi="Calibri" w:eastAsia="Songti SC"/>
                <w:color w:val="000000"/>
                <w:sz w:val="20"/>
              </w:rPr>
              <w:t>Scope and gaps reported; no conformance claim beyond the tested scope</w:t>
            </w:r>
          </w:p>
        </w:tc>
      </w:tr>
    </w:tbl>
    <w:p>
      <w:pPr>
        <w:widowControl/>
        <w:spacing w:after="20"/>
      </w:pPr>
    </w:p>
    <w:p>
      <w:pPr>
        <w:pStyle w:val="Heading2"/>
        <w:widowControl/>
      </w:pPr>
      <w:r>
        <w:rPr>
          <w:rFonts w:ascii="Calibri" w:hAnsi="Calibri" w:eastAsia="Songti SC"/>
          <w:color w:val="000000"/>
        </w:rPr>
        <w:t>5 3 Exchange Across Implementations and Release Conditions</w:t>
      </w:r>
    </w:p>
    <w:p>
      <w:pPr>
        <w:widowControl/>
      </w:pPr>
      <w:r>
        <w:rPr>
          <w:rFonts w:ascii="Calibri" w:hAnsi="Calibri" w:eastAsia="Songti SC"/>
          <w:color w:val="000000"/>
        </w:rPr>
        <w:t>An interoperability candidate release SHOULD involve at least two independent implementation teams, each completing transaction creation, evidence exchange, verification, state replay and recovery from exceptions for the same transaction. Calling a shared backend does not constitute independent implementation. Initial interoperability testing covers three profiles: NFT transactions; work provenance and licensing; and institutional qualifications and Agent delegation, with fixed examples involving mixed fees and partial failure. NFT transactions lead the sequence; compute and other scenarios follow when their domain requirements are met. Three pilots cannot establish that every scenario has been validated.</w:t>
      </w:r>
    </w:p>
    <w:p>
      <w:pPr>
        <w:widowControl/>
      </w:pPr>
      <w:r>
        <w:rPr>
          <w:rFonts w:ascii="Calibri" w:hAnsi="Calibri" w:eastAsia="Songti SC"/>
          <w:color w:val="000000"/>
        </w:rPr>
        <w:t>Release materials include implementable schemas and interfaces, profile and extension registries, complete vectors, exportable event and evidence packages, known issues, discrepancy reports and migration rules. Interface publication, specification licences, code licences and patent commitments are disclosed separately. Unresolved ownership rights must not be described as an open licence. Self-declaration, independent assessment and adoption by a standards organization are different levels of evidence; their reports cannot substitute for one another.</w:t>
      </w:r>
    </w:p>
    <w:p>
      <w:pPr>
        <w:pStyle w:val="Heading1"/>
        <w:widowControl/>
      </w:pPr>
      <w:r>
        <w:rPr>
          <w:rFonts w:ascii="Calibri" w:hAnsi="Calibri" w:eastAsia="Songti SC"/>
          <w:color w:val="000000"/>
        </w:rPr>
        <w:t>6 NFT Trust Objects and Binding Semantics</w:t>
      </w:r>
    </w:p>
    <w:p>
      <w:pPr>
        <w:widowControl/>
      </w:pPr>
      <w:r>
        <w:rPr>
          <w:rFonts w:ascii="Calibri" w:hAnsi="Calibri" w:eastAsia="Songti SC"/>
          <w:color w:val="000000"/>
        </w:rPr>
        <w:t>An NFT is an on-chain anchor for a programmable trust object. Its object reference is determined jointly by chainId, contractAddress, tokenId and bindingVersion; its description specifies meaning through schemaId, contentDigest, controller, subjectBinding, rightsDescriptorRef and lifecyclePolicy. NFT metadata updates create a new version and event; they must not silently change, within the same version, the semantics on which past verification relied. Update rules are constrained by the selected standard: metadata of an issued ERC-5484 token must not be changed. Changes must instead follow the specified burn-and-reissue process or use newly referenced credentials; bindingVersion cannot circumvent the restriction. [S7]</w:t>
      </w:r>
    </w:p>
    <w:p>
      <w:pPr>
        <w:widowControl/>
      </w:pPr>
      <w:r>
        <w:rPr>
          <w:rFonts w:ascii="Calibri" w:hAnsi="Calibri" w:eastAsia="Songti SC"/>
          <w:color w:val="000000"/>
        </w:rPr>
        <w:t>Token holders, control keys, claim subjects, service beneficiaries and legal rights holders must be distinguished. The holder record under ERC-721 describes token-level state; it does not automatically establish a natural person's identity, copyright in a work or ownership of a physical asset. The creation and transfer of legal rights depend on applicable documents, registrations and authority. The protocol explicitly references these foundations rather than compressing different relationships into a single owner field. [S4] A unique tokenId within one contract also cannot prevent another contract or chain from describing the same physical object. Registration rules must identify known duplicates and conflicts and specify authoritative sources and dispute handling.</w:t>
      </w:r>
    </w:p>
    <w:p>
      <w:pPr>
        <w:widowControl/>
      </w:pPr>
      <w:r>
        <w:rPr>
          <w:rFonts w:ascii="Calibri" w:hAnsi="Calibri" w:eastAsia="Songti SC"/>
          <w:color w:val="000000"/>
        </w:rPr>
        <w:t>Objects bound to a subject should use a configuration that prohibits ordinary transfers or permits only a strictly controlled recovery process. Asset objects may be transferable under the applicable conditions; transfer of a service commitment or substitution of its obligations requires the relevant parties' consent. Historical evidence attached to a transferable asset does not establish the new holder's personal qualifications. Every transfer requires reassessment of current dependencies and authority; historical versions and their subject relationships at the time remain traceable.</w:t>
      </w:r>
    </w:p>
    <w:p>
      <w:pPr>
        <w:widowControl/>
      </w:pPr>
      <w:r>
        <w:rPr>
          <w:rFonts w:ascii="Calibri" w:hAnsi="Calibri" w:eastAsia="Songti SC"/>
          <w:color w:val="000000"/>
        </w:rPr>
        <w:t>A subject anchor should expose only necessary identifiers. Sensitive identities can use different identifiers in different relationships, controlled mappings and selective disclosure. Public identity NFTs may enable correlation across platforms, so no person should be required to mint a permanent public real-name record. A person may manage multiple identifiers for authorized purposes, and devices and organizations may have independent objects. Counts of wallets or NFTs alone cannot establish the uniqueness of natural persons.</w:t>
      </w:r>
    </w:p>
    <w:p>
      <w:pPr>
        <w:widowControl/>
      </w:pPr>
      <w:r>
        <w:rPr>
          <w:rFonts w:ascii="Calibri" w:hAnsi="Calibri" w:eastAsia="Songti SC"/>
          <w:color w:val="000000"/>
        </w:rPr>
        <w:t>DCNFT is a specialized object category with separately defined contractual interests; the term must not be applied to every NFT trust object. Facility identity NFTs, personal qualifications, work licences and device records continue to operate under their own types. Only rights created through effective documents can change through a compliant transfer. The DCNFT issuer, seriesId, rightsDocumentDigest, register reference, transfer conditions and registration time must be bound to the object version, with separate audit trails for key recovery and corrections to rights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00"/>
        <w:gridCol w:w="3744"/>
        <w:gridCol w:w="4536"/>
      </w:tblGrid>
      <w:tr>
        <w:trPr>
          <w:cantSplit/>
          <w:tblHeader/>
        </w:trPr>
        <w:tc>
          <w:tcPr>
            <w:tcW w:type="dxa" w:w="1800"/>
            <w:vAlign w:val="center"/>
            <w:shd w:fill="E7EDF2"/>
          </w:tcPr>
          <w:p>
            <w:pPr>
              <w:spacing w:after="0" w:before="0" w:line="259" w:lineRule="auto"/>
            </w:pPr>
            <w:r>
              <w:rPr>
                <w:rFonts w:ascii="Calibri" w:hAnsi="Calibri" w:eastAsia="Songti SC"/>
                <w:b/>
                <w:color w:val="000000"/>
                <w:sz w:val="20"/>
              </w:rPr>
              <w:t>Object Profile</w:t>
            </w:r>
          </w:p>
        </w:tc>
        <w:tc>
          <w:tcPr>
            <w:tcW w:type="dxa" w:w="3744"/>
            <w:vAlign w:val="center"/>
            <w:shd w:fill="E7EDF2"/>
          </w:tcPr>
          <w:p>
            <w:pPr>
              <w:spacing w:after="0" w:before="0" w:line="259" w:lineRule="auto"/>
            </w:pPr>
            <w:r>
              <w:rPr>
                <w:rFonts w:ascii="Calibri" w:hAnsi="Calibri" w:eastAsia="Songti SC"/>
                <w:b/>
                <w:color w:val="000000"/>
                <w:sz w:val="20"/>
              </w:rPr>
              <w:t>NFT Content</w:t>
            </w:r>
          </w:p>
        </w:tc>
        <w:tc>
          <w:tcPr>
            <w:tcW w:type="dxa" w:w="4536"/>
            <w:vAlign w:val="center"/>
            <w:shd w:fill="E7EDF2"/>
          </w:tcPr>
          <w:p>
            <w:pPr>
              <w:spacing w:after="0" w:before="0" w:line="259" w:lineRule="auto"/>
            </w:pPr>
            <w:r>
              <w:rPr>
                <w:rFonts w:ascii="Calibri" w:hAnsi="Calibri" w:eastAsia="Songti SC"/>
                <w:b/>
                <w:color w:val="000000"/>
                <w:sz w:val="20"/>
              </w:rPr>
              <w:t>Transfer and Authority Constraints</w:t>
            </w:r>
          </w:p>
        </w:tc>
      </w:tr>
      <w:tr>
        <w:trPr>
          <w:cantSplit/>
        </w:trPr>
        <w:tc>
          <w:tcPr>
            <w:tcW w:type="dxa" w:w="1800"/>
            <w:vAlign w:val="center"/>
            <w:shd w:fill="FFFFFF"/>
          </w:tcPr>
          <w:p>
            <w:pPr>
              <w:spacing w:after="0" w:before="0" w:line="259" w:lineRule="auto"/>
            </w:pPr>
            <w:r>
              <w:rPr>
                <w:rFonts w:ascii="Calibri" w:hAnsi="Calibri" w:eastAsia="Songti SC"/>
                <w:color w:val="000000"/>
                <w:sz w:val="20"/>
              </w:rPr>
              <w:t>Subject and control anchor</w:t>
            </w:r>
          </w:p>
        </w:tc>
        <w:tc>
          <w:tcPr>
            <w:tcW w:type="dxa" w:w="3744"/>
            <w:vAlign w:val="center"/>
            <w:shd w:fill="FFFFFF"/>
          </w:tcPr>
          <w:p>
            <w:pPr>
              <w:spacing w:after="0" w:before="0" w:line="259" w:lineRule="auto"/>
            </w:pPr>
            <w:r>
              <w:rPr>
                <w:rFonts w:ascii="Calibri" w:hAnsi="Calibri" w:eastAsia="Songti SC"/>
                <w:color w:val="000000"/>
                <w:sz w:val="20"/>
              </w:rPr>
              <w:t>Binding and version for an organization, device or privacy-protected subject</w:t>
            </w:r>
          </w:p>
        </w:tc>
        <w:tc>
          <w:tcPr>
            <w:tcW w:type="dxa" w:w="4536"/>
            <w:vAlign w:val="center"/>
            <w:shd w:fill="FFFFFF"/>
          </w:tcPr>
          <w:p>
            <w:pPr>
              <w:spacing w:after="0" w:before="0" w:line="259" w:lineRule="auto"/>
            </w:pPr>
            <w:r>
              <w:rPr>
                <w:rFonts w:ascii="Calibri" w:hAnsi="Calibri" w:eastAsia="Songti SC"/>
                <w:color w:val="000000"/>
                <w:sz w:val="20"/>
              </w:rPr>
              <w:t>Ordinary transfer disabled or controlled; recovery validates the subject and authority and cannot sell personal qualifications</w:t>
            </w:r>
          </w:p>
        </w:tc>
      </w:tr>
      <w:tr>
        <w:trPr>
          <w:cantSplit/>
        </w:trPr>
        <w:tc>
          <w:tcPr>
            <w:tcW w:type="dxa" w:w="1800"/>
            <w:vAlign w:val="center"/>
            <w:shd w:fill="FFFFFF"/>
          </w:tcPr>
          <w:p>
            <w:pPr>
              <w:spacing w:after="0" w:before="0" w:line="259" w:lineRule="auto"/>
            </w:pPr>
            <w:r>
              <w:rPr>
                <w:rFonts w:ascii="Calibri" w:hAnsi="Calibri" w:eastAsia="Songti SC"/>
                <w:color w:val="000000"/>
                <w:sz w:val="20"/>
              </w:rPr>
              <w:t>Asset and work object</w:t>
            </w:r>
          </w:p>
        </w:tc>
        <w:tc>
          <w:tcPr>
            <w:tcW w:type="dxa" w:w="3744"/>
            <w:vAlign w:val="center"/>
            <w:shd w:fill="FFFFFF"/>
          </w:tcPr>
          <w:p>
            <w:pPr>
              <w:spacing w:after="0" w:before="0" w:line="259" w:lineRule="auto"/>
            </w:pPr>
            <w:r>
              <w:rPr>
                <w:rFonts w:ascii="Calibri" w:hAnsi="Calibri" w:eastAsia="Songti SC"/>
                <w:color w:val="000000"/>
                <w:sz w:val="20"/>
              </w:rPr>
              <w:t>Object provenance, version and references to rights documents</w:t>
            </w:r>
          </w:p>
        </w:tc>
        <w:tc>
          <w:tcPr>
            <w:tcW w:type="dxa" w:w="4536"/>
            <w:vAlign w:val="center"/>
            <w:shd w:fill="FFFFFF"/>
          </w:tcPr>
          <w:p>
            <w:pPr>
              <w:spacing w:after="0" w:before="0" w:line="259" w:lineRule="auto"/>
            </w:pPr>
            <w:r>
              <w:rPr>
                <w:rFonts w:ascii="Calibri" w:hAnsi="Calibri" w:eastAsia="Songti SC"/>
                <w:color w:val="000000"/>
                <w:sz w:val="20"/>
              </w:rPr>
              <w:t>Transfer within an explicit rights scope; token holding does not automatically transfer copyright, title or income rights</w:t>
            </w:r>
          </w:p>
        </w:tc>
      </w:tr>
      <w:tr>
        <w:trPr>
          <w:cantSplit/>
        </w:trPr>
        <w:tc>
          <w:tcPr>
            <w:tcW w:type="dxa" w:w="1800"/>
            <w:vAlign w:val="center"/>
            <w:shd w:fill="FFFFFF"/>
          </w:tcPr>
          <w:p>
            <w:pPr>
              <w:spacing w:after="0" w:before="0" w:line="259" w:lineRule="auto"/>
            </w:pPr>
            <w:r>
              <w:rPr>
                <w:rFonts w:ascii="Calibri" w:hAnsi="Calibri" w:eastAsia="Songti SC"/>
                <w:color w:val="000000"/>
                <w:sz w:val="20"/>
              </w:rPr>
              <w:t>Collaboration and service commitment</w:t>
            </w:r>
          </w:p>
        </w:tc>
        <w:tc>
          <w:tcPr>
            <w:tcW w:type="dxa" w:w="3744"/>
            <w:vAlign w:val="center"/>
            <w:shd w:fill="FFFFFF"/>
          </w:tcPr>
          <w:p>
            <w:pPr>
              <w:spacing w:after="0" w:before="0" w:line="259" w:lineRule="auto"/>
            </w:pPr>
            <w:r>
              <w:rPr>
                <w:rFonts w:ascii="Calibri" w:hAnsi="Calibri" w:eastAsia="Songti SC"/>
                <w:color w:val="000000"/>
                <w:sz w:val="20"/>
              </w:rPr>
              <w:t>Parties, obligations, acceptance policies and evidence references</w:t>
            </w:r>
          </w:p>
        </w:tc>
        <w:tc>
          <w:tcPr>
            <w:tcW w:type="dxa" w:w="4536"/>
            <w:vAlign w:val="center"/>
            <w:shd w:fill="FFFFFF"/>
          </w:tcPr>
          <w:p>
            <w:pPr>
              <w:spacing w:after="0" w:before="0" w:line="259" w:lineRule="auto"/>
            </w:pPr>
            <w:r>
              <w:rPr>
                <w:rFonts w:ascii="Calibri" w:hAnsi="Calibri" w:eastAsia="Songti SC"/>
                <w:color w:val="000000"/>
                <w:sz w:val="20"/>
              </w:rPr>
              <w:t>Transfer, subdelegation and substitution of obligations each receive the required authorization</w:t>
            </w:r>
          </w:p>
        </w:tc>
      </w:tr>
      <w:tr>
        <w:trPr>
          <w:cantSplit/>
        </w:trPr>
        <w:tc>
          <w:tcPr>
            <w:tcW w:type="dxa" w:w="1800"/>
            <w:vAlign w:val="center"/>
            <w:shd w:fill="FFFFFF"/>
          </w:tcPr>
          <w:p>
            <w:pPr>
              <w:spacing w:after="0" w:before="0" w:line="259" w:lineRule="auto"/>
            </w:pPr>
            <w:r>
              <w:rPr>
                <w:rFonts w:ascii="Calibri" w:hAnsi="Calibri" w:eastAsia="Songti SC"/>
                <w:color w:val="000000"/>
                <w:sz w:val="20"/>
              </w:rPr>
              <w:t>Optional regulated interest</w:t>
            </w:r>
          </w:p>
        </w:tc>
        <w:tc>
          <w:tcPr>
            <w:tcW w:type="dxa" w:w="3744"/>
            <w:vAlign w:val="center"/>
            <w:shd w:fill="FFFFFF"/>
          </w:tcPr>
          <w:p>
            <w:pPr>
              <w:spacing w:after="0" w:before="0" w:line="259" w:lineRule="auto"/>
            </w:pPr>
            <w:r>
              <w:rPr>
                <w:rFonts w:ascii="Calibri" w:hAnsi="Calibri" w:eastAsia="Songti SC"/>
                <w:color w:val="000000"/>
                <w:sz w:val="20"/>
              </w:rPr>
              <w:t>References to applicable transaction documents and an authorized rights register</w:t>
            </w:r>
          </w:p>
        </w:tc>
        <w:tc>
          <w:tcPr>
            <w:tcW w:type="dxa" w:w="4536"/>
            <w:vAlign w:val="center"/>
            <w:shd w:fill="FFFFFF"/>
          </w:tcPr>
          <w:p>
            <w:pPr>
              <w:spacing w:after="0" w:before="0" w:line="259" w:lineRule="auto"/>
            </w:pPr>
            <w:r>
              <w:rPr>
                <w:rFonts w:ascii="Calibri" w:hAnsi="Calibri" w:eastAsia="Songti SC"/>
                <w:color w:val="000000"/>
                <w:sz w:val="20"/>
              </w:rPr>
              <w:t>Separate issuance, transfer and holding conditions; isolated from general participation accounts</w:t>
            </w:r>
          </w:p>
        </w:tc>
      </w:tr>
    </w:tbl>
    <w:p>
      <w:pPr>
        <w:widowControl/>
        <w:spacing w:after="20"/>
      </w:pPr>
    </w:p>
    <w:p>
      <w:pPr>
        <w:pStyle w:val="Heading1"/>
        <w:widowControl/>
      </w:pPr>
      <w:r>
        <w:rPr>
          <w:rFonts w:ascii="Calibri" w:hAnsi="Calibri" w:eastAsia="Songti SC"/>
          <w:color w:val="000000"/>
        </w:rPr>
        <w:t>7 Dual Token Collaboration and Economic Operations</w:t>
      </w:r>
    </w:p>
    <w:p>
      <w:pPr>
        <w:widowControl/>
      </w:pPr>
      <w:r>
        <w:rPr>
          <w:rFonts w:ascii="Calibri" w:hAnsi="Calibri" w:eastAsia="Songti SC"/>
          <w:color w:val="000000"/>
        </w:rPr>
        <w:t>The dual-token design expresses interests in a specific facility separately from network collaboration across applications, connecting them through the same evidence and authorization core. DCNFT is a non-fungible or series-based representation of interests, initially applied to contractual participation interests in facility SPVs. $RWAIX is a proposed fungible network token for approved fees, performance bonding, service incentives and limited governance. Dual-token refers to two economic functions; it does not mean that every service must use both instruments or that every NFT carries investment rights.</w:t>
      </w:r>
    </w:p>
    <w:p>
      <w:pPr>
        <w:widowControl/>
      </w:pPr>
      <w:r>
        <w:rPr>
          <w:rFonts w:ascii="Calibri" w:hAnsi="Calibri" w:eastAsia="Songti SC"/>
          <w:color w:val="000000"/>
        </w:rPr>
        <w:t>The collaboration path runs from effective rights and service commitments through verifiable evidence, approved fees or rewards, independent execution and ledger reconciliation. DCNFT and $RWAIX have no default conversion, redemption, mutual guarantee or claim on each other's cash flows. Returns on investment interests depend on the corresponding effective documents and funds actually available. Network-service continuity depends on deliverable services and customer demand; token appreciation must not be treated as a foundational source of payment capacity.</w:t>
      </w:r>
    </w:p>
    <w:p>
      <w:pPr>
        <w:pStyle w:val="Caption"/>
        <w:widowControl/>
      </w:pPr>
      <w:r>
        <w:rPr>
          <w:rFonts w:ascii="Calibri" w:hAnsi="Calibri" w:eastAsia="Songti SC"/>
          <w:color w:val="000000"/>
        </w:rPr>
        <w:t>Figure 2. Dual-token collaboration with separate ledgers</w:t>
      </w:r>
    </w:p>
    <w:p>
      <w:pPr>
        <w:widowControl/>
        <w:spacing w:after="160"/>
      </w:pPr>
      <w:r>
        <w:drawing>
          <wp:inline xmlns:a="http://schemas.openxmlformats.org/drawingml/2006/main" xmlns:pic="http://schemas.openxmlformats.org/drawingml/2006/picture">
            <wp:extent cx="6400800" cy="5577840"/>
            <wp:docPr id="2" name="Picture 2" descr="Proposed general NFTs and credentials, facility DCNFT and $RWAIX connect through a common verification core; TrustReceipt does not authorize payment. The left column covers facility-service receipts, eligible SPV operating cash and holder entitlements. The right covers network-fee sources, a separate treasury, bonds and rewards. There is no default transfer, exchange, guarantee or revenue sharing between columns; subscription proceeds and restricted customer funds have separate controls."/>
            <wp:cNvGraphicFramePr>
              <a:graphicFrameLocks noChangeAspect="1"/>
            </wp:cNvGraphicFramePr>
            <a:graphic>
              <a:graphicData uri="http://schemas.openxmlformats.org/drawingml/2006/picture">
                <pic:pic>
                  <pic:nvPicPr>
                    <pic:cNvPr id="0" name="dual_token_flow_en.png"/>
                    <pic:cNvPicPr/>
                  </pic:nvPicPr>
                  <pic:blipFill>
                    <a:blip r:embed="rId10"/>
                    <a:stretch>
                      <a:fillRect/>
                    </a:stretch>
                  </pic:blipFill>
                  <pic:spPr>
                    <a:xfrm>
                      <a:off x="0" y="0"/>
                      <a:ext cx="6400800" cy="5577840"/>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944"/>
        <w:gridCol w:w="3528"/>
        <w:gridCol w:w="4608"/>
      </w:tblGrid>
      <w:tr>
        <w:trPr>
          <w:cantSplit/>
          <w:tblHeader/>
        </w:trPr>
        <w:tc>
          <w:tcPr>
            <w:tcW w:type="dxa" w:w="1944"/>
            <w:vAlign w:val="center"/>
            <w:shd w:fill="E7EDF2"/>
          </w:tcPr>
          <w:p>
            <w:pPr>
              <w:spacing w:after="0" w:before="0" w:line="259" w:lineRule="auto"/>
            </w:pPr>
            <w:r>
              <w:rPr>
                <w:rFonts w:ascii="Calibri" w:hAnsi="Calibri" w:eastAsia="Songti SC"/>
                <w:b/>
                <w:color w:val="000000"/>
                <w:sz w:val="20"/>
              </w:rPr>
              <w:t>Object or Asset</w:t>
            </w:r>
          </w:p>
        </w:tc>
        <w:tc>
          <w:tcPr>
            <w:tcW w:type="dxa" w:w="3528"/>
            <w:vAlign w:val="center"/>
            <w:shd w:fill="E7EDF2"/>
          </w:tcPr>
          <w:p>
            <w:pPr>
              <w:spacing w:after="0" w:before="0" w:line="259" w:lineRule="auto"/>
            </w:pPr>
            <w:r>
              <w:rPr>
                <w:rFonts w:ascii="Calibri" w:hAnsi="Calibri" w:eastAsia="Songti SC"/>
                <w:b/>
                <w:color w:val="000000"/>
                <w:sz w:val="20"/>
              </w:rPr>
              <w:t>Function</w:t>
            </w:r>
          </w:p>
        </w:tc>
        <w:tc>
          <w:tcPr>
            <w:tcW w:type="dxa" w:w="4608"/>
            <w:vAlign w:val="center"/>
            <w:shd w:fill="E7EDF2"/>
          </w:tcPr>
          <w:p>
            <w:pPr>
              <w:spacing w:after="0" w:before="0" w:line="259" w:lineRule="auto"/>
            </w:pPr>
            <w:r>
              <w:rPr>
                <w:rFonts w:ascii="Calibri" w:hAnsi="Calibri" w:eastAsia="Songti SC"/>
                <w:b/>
                <w:color w:val="000000"/>
                <w:sz w:val="20"/>
              </w:rPr>
              <w:t>Basis and Boundaries</w:t>
            </w:r>
          </w:p>
        </w:tc>
      </w:tr>
      <w:tr>
        <w:trPr>
          <w:cantSplit/>
        </w:trPr>
        <w:tc>
          <w:tcPr>
            <w:tcW w:type="dxa" w:w="1944"/>
            <w:vAlign w:val="center"/>
            <w:shd w:fill="FFFFFF"/>
          </w:tcPr>
          <w:p>
            <w:pPr>
              <w:spacing w:after="0" w:before="0" w:line="259" w:lineRule="auto"/>
            </w:pPr>
            <w:r>
              <w:rPr>
                <w:rFonts w:ascii="Calibri" w:hAnsi="Calibri" w:eastAsia="Songti SC"/>
                <w:color w:val="000000"/>
                <w:sz w:val="20"/>
              </w:rPr>
              <w:t>General NFTs and credentials</w:t>
            </w:r>
          </w:p>
        </w:tc>
        <w:tc>
          <w:tcPr>
            <w:tcW w:type="dxa" w:w="3528"/>
            <w:vAlign w:val="center"/>
            <w:shd w:fill="FFFFFF"/>
          </w:tcPr>
          <w:p>
            <w:pPr>
              <w:spacing w:after="0" w:before="0" w:line="259" w:lineRule="auto"/>
            </w:pPr>
            <w:r>
              <w:rPr>
                <w:rFonts w:ascii="Calibri" w:hAnsi="Calibri" w:eastAsia="Songti SC"/>
                <w:color w:val="000000"/>
                <w:sz w:val="20"/>
              </w:rPr>
              <w:t>Verifiable representations of subjects, objects, qualifications and licences</w:t>
            </w:r>
          </w:p>
        </w:tc>
        <w:tc>
          <w:tcPr>
            <w:tcW w:type="dxa" w:w="4608"/>
            <w:vAlign w:val="center"/>
            <w:shd w:fill="FFFFFF"/>
          </w:tcPr>
          <w:p>
            <w:pPr>
              <w:spacing w:after="0" w:before="0" w:line="259" w:lineRule="auto"/>
            </w:pPr>
            <w:r>
              <w:rPr>
                <w:rFonts w:ascii="Calibri" w:hAnsi="Calibri" w:eastAsia="Songti SC"/>
                <w:color w:val="000000"/>
                <w:sz w:val="20"/>
              </w:rPr>
              <w:t>Verified by object type and valid evidence; not a third network payment token</w:t>
            </w:r>
          </w:p>
        </w:tc>
      </w:tr>
      <w:tr>
        <w:trPr>
          <w:cantSplit/>
        </w:trPr>
        <w:tc>
          <w:tcPr>
            <w:tcW w:type="dxa" w:w="1944"/>
            <w:vAlign w:val="center"/>
            <w:shd w:fill="FFFFFF"/>
          </w:tcPr>
          <w:p>
            <w:pPr>
              <w:spacing w:after="0" w:before="0" w:line="259" w:lineRule="auto"/>
            </w:pPr>
            <w:r>
              <w:rPr>
                <w:rFonts w:ascii="Calibri" w:hAnsi="Calibri" w:eastAsia="Songti SC"/>
                <w:color w:val="000000"/>
                <w:sz w:val="20"/>
              </w:rPr>
              <w:t>DCNFT</w:t>
            </w:r>
          </w:p>
        </w:tc>
        <w:tc>
          <w:tcPr>
            <w:tcW w:type="dxa" w:w="3528"/>
            <w:vAlign w:val="center"/>
            <w:shd w:fill="FFFFFF"/>
          </w:tcPr>
          <w:p>
            <w:pPr>
              <w:spacing w:after="0" w:before="0" w:line="259" w:lineRule="auto"/>
            </w:pPr>
            <w:r>
              <w:rPr>
                <w:rFonts w:ascii="Calibri" w:hAnsi="Calibri" w:eastAsia="Songti SC"/>
                <w:color w:val="000000"/>
                <w:sz w:val="20"/>
              </w:rPr>
              <w:t>Registration interface for series interests in an identified facility SPV</w:t>
            </w:r>
          </w:p>
        </w:tc>
        <w:tc>
          <w:tcPr>
            <w:tcW w:type="dxa" w:w="4608"/>
            <w:vAlign w:val="center"/>
            <w:shd w:fill="FFFFFF"/>
          </w:tcPr>
          <w:p>
            <w:pPr>
              <w:spacing w:after="0" w:before="0" w:line="259" w:lineRule="auto"/>
            </w:pPr>
            <w:r>
              <w:rPr>
                <w:rFonts w:ascii="Calibri" w:hAnsi="Calibri" w:eastAsia="Songti SC"/>
                <w:color w:val="000000"/>
                <w:sz w:val="20"/>
              </w:rPr>
              <w:t>Series documents define the issuer, cash participation and transfer conditions; no automatic ownership of physical assets or group equity</w:t>
            </w:r>
          </w:p>
        </w:tc>
      </w:tr>
      <w:tr>
        <w:trPr>
          <w:cantSplit/>
        </w:trPr>
        <w:tc>
          <w:tcPr>
            <w:tcW w:type="dxa" w:w="1944"/>
            <w:vAlign w:val="center"/>
            <w:shd w:fill="FFFFFF"/>
          </w:tcPr>
          <w:p>
            <w:pPr>
              <w:spacing w:after="0" w:before="0" w:line="259" w:lineRule="auto"/>
            </w:pPr>
            <w:r>
              <w:rPr>
                <w:rFonts w:ascii="Calibri" w:hAnsi="Calibri" w:eastAsia="Songti SC"/>
                <w:color w:val="000000"/>
                <w:sz w:val="20"/>
              </w:rPr>
              <w:t>$RWAIX</w:t>
            </w:r>
          </w:p>
        </w:tc>
        <w:tc>
          <w:tcPr>
            <w:tcW w:type="dxa" w:w="3528"/>
            <w:vAlign w:val="center"/>
            <w:shd w:fill="FFFFFF"/>
          </w:tcPr>
          <w:p>
            <w:pPr>
              <w:spacing w:after="0" w:before="0" w:line="259" w:lineRule="auto"/>
            </w:pPr>
            <w:r>
              <w:rPr>
                <w:rFonts w:ascii="Calibri" w:hAnsi="Calibri" w:eastAsia="Songti SC"/>
                <w:color w:val="000000"/>
                <w:sz w:val="20"/>
              </w:rPr>
              <w:t>Approved fees, performance bonds, service incentives and limited governance</w:t>
            </w:r>
          </w:p>
        </w:tc>
        <w:tc>
          <w:tcPr>
            <w:tcW w:type="dxa" w:w="4608"/>
            <w:vAlign w:val="center"/>
            <w:shd w:fill="FFFFFF"/>
          </w:tcPr>
          <w:p>
            <w:pPr>
              <w:spacing w:after="0" w:before="0" w:line="259" w:lineRule="auto"/>
            </w:pPr>
            <w:r>
              <w:rPr>
                <w:rFonts w:ascii="Calibri" w:hAnsi="Calibri" w:eastAsia="Songti SC"/>
                <w:color w:val="000000"/>
                <w:sz w:val="20"/>
              </w:rPr>
              <w:t>Issuance and operating rules are determined separately; no attached DCNFT cash-flow or company-equity rights</w:t>
            </w:r>
          </w:p>
        </w:tc>
      </w:tr>
      <w:tr>
        <w:trPr>
          <w:cantSplit/>
        </w:trPr>
        <w:tc>
          <w:tcPr>
            <w:tcW w:type="dxa" w:w="1944"/>
            <w:vAlign w:val="center"/>
            <w:shd w:fill="FFFFFF"/>
          </w:tcPr>
          <w:p>
            <w:pPr>
              <w:spacing w:after="0" w:before="0" w:line="259" w:lineRule="auto"/>
            </w:pPr>
            <w:r>
              <w:rPr>
                <w:rFonts w:ascii="Calibri" w:hAnsi="Calibri" w:eastAsia="Songti SC"/>
                <w:color w:val="000000"/>
                <w:sz w:val="20"/>
              </w:rPr>
              <w:t>External settlement assets</w:t>
            </w:r>
          </w:p>
        </w:tc>
        <w:tc>
          <w:tcPr>
            <w:tcW w:type="dxa" w:w="3528"/>
            <w:vAlign w:val="center"/>
            <w:shd w:fill="FFFFFF"/>
          </w:tcPr>
          <w:p>
            <w:pPr>
              <w:spacing w:after="0" w:before="0" w:line="259" w:lineRule="auto"/>
            </w:pPr>
            <w:r>
              <w:rPr>
                <w:rFonts w:ascii="Calibri" w:hAnsi="Calibri" w:eastAsia="Songti SC"/>
                <w:color w:val="000000"/>
                <w:sz w:val="20"/>
              </w:rPr>
              <w:t>Service payments and authorized funds settlement</w:t>
            </w:r>
          </w:p>
        </w:tc>
        <w:tc>
          <w:tcPr>
            <w:tcW w:type="dxa" w:w="4608"/>
            <w:vAlign w:val="center"/>
            <w:shd w:fill="FFFFFF"/>
          </w:tcPr>
          <w:p>
            <w:pPr>
              <w:spacing w:after="0" w:before="0" w:line="259" w:lineRule="auto"/>
            </w:pPr>
            <w:r>
              <w:rPr>
                <w:rFonts w:ascii="Calibri" w:hAnsi="Calibri" w:eastAsia="Songti SC"/>
                <w:color w:val="000000"/>
                <w:sz w:val="20"/>
              </w:rPr>
              <w:t>Fiat or approved digital payment assets follow their respective rules; not additional self-issued tokens</w:t>
            </w:r>
          </w:p>
        </w:tc>
      </w:tr>
    </w:tbl>
    <w:p>
      <w:pPr>
        <w:widowControl/>
        <w:spacing w:after="20"/>
      </w:pPr>
    </w:p>
    <w:p>
      <w:pPr>
        <w:pStyle w:val="Heading2"/>
        <w:widowControl/>
      </w:pPr>
      <w:r>
        <w:rPr>
          <w:rFonts w:ascii="Calibri" w:hAnsi="Calibri" w:eastAsia="Songti SC"/>
          <w:color w:val="000000"/>
        </w:rPr>
        <w:t>7 1 Rights Binding and Authorized Transfers</w:t>
      </w:r>
    </w:p>
    <w:p>
      <w:pPr>
        <w:widowControl/>
      </w:pPr>
      <w:r>
        <w:rPr>
          <w:rFonts w:ascii="Calibri" w:hAnsi="Calibri" w:eastAsia="Songti SC"/>
          <w:color w:val="000000"/>
        </w:rPr>
        <w:t>Each DCNFT series binds the actual issuing SPV, rights-document version, register, holder eligibility, economic priority, term, default remedies and applicable transfer restrictions. The working assumption remains contractual participation linked to facility distributable cash. The final choice of equity, debt or another instrument must be reflected consistently in the schema and signed documents. An NFT transfer produces the corresponding legal effect only when the applicable contractual, registration and eligibility conditions are satisfied.</w:t>
      </w:r>
    </w:p>
    <w:p>
      <w:pPr>
        <w:widowControl/>
      </w:pPr>
      <w:r>
        <w:rPr>
          <w:rFonts w:ascii="Calibri" w:hAnsi="Calibri" w:eastAsia="Songti SC"/>
          <w:color w:val="000000"/>
        </w:rPr>
        <w:t>Token quantities held and distribution weights need not coincide. The distribution engine calculates amounts using the record date, eligible register, weights, deductions and approved amount specified in the series documents, retaining bank or custody receipt records, debt constraints and payment receipts. The platform establishes no joint payment obligation across facilities, default group guarantee or distribution ratio that can be rewritten by a $RWAIX vote. New allocations use eligible cash that has not yet been allocated as their base. Amounts already allocated to investors and residual rights holders in a prior period or the current period are excluded. If the base already excludes these amounts, they are not deducted again; actual payments only discharge the corresponding payable entitlements.</w:t>
      </w:r>
    </w:p>
    <w:p>
      <w:pPr>
        <w:pStyle w:val="Heading2"/>
        <w:widowControl/>
      </w:pPr>
      <w:r>
        <w:rPr>
          <w:rFonts w:ascii="Calibri" w:hAnsi="Calibri" w:eastAsia="Songti SC"/>
          <w:color w:val="000000"/>
        </w:rPr>
        <w:t>7 2 Fee Quotes and Separately Accounted Settlement</w:t>
      </w:r>
    </w:p>
    <w:p>
      <w:pPr>
        <w:widowControl/>
      </w:pPr>
      <w:r>
        <w:rPr>
          <w:rFonts w:ascii="Calibri" w:hAnsi="Calibri" w:eastAsia="Songti SC"/>
          <w:color w:val="000000"/>
        </w:rPr>
        <w:t>Service charges and network fees are defined separately. FeeQuote binds quoteId, quoteUnit, feeAsset, maxDebit, the payee, rateSource, rateTime, expiry and refundRule. A fee asset is uniquely identified by network, contract and precision; fiat uses an explicit currency. When payment in $RWAIX is selected, the quote specifies the conversion direction, responsibility for fees and permitted deviation. A stale, abnormal or unavailable price source pauses that payment path rather than permitting an unapproved increase in the debit or substitution of another asset. Acceptance of a quote fixes the settlement quantity or specifies the conversion rule and maximum debit. Exceeding an approved deviation requires a new quote and new authorization; previously consumed allowance must not be recalculated and released because prices change.</w:t>
      </w:r>
    </w:p>
    <w:p>
      <w:pPr>
        <w:widowControl/>
      </w:pPr>
      <w:r>
        <w:rPr>
          <w:rFonts w:ascii="Calibri" w:hAnsi="Calibri" w:eastAsia="Songti SC"/>
          <w:color w:val="000000"/>
        </w:rPr>
        <w:t>Fee execution follows quote acceptance, allowance reservation, authorized submission, outcome reconciliation and settlement or refund. OUTCOME_UNKNOWN retains the reservation while the original transaction is queried. Facility funds, platform service fees, the network treasury, bonds and reward budgets are accounted for separately. Service-revenue deductions, debt and reserves are verified against series documents and financial records before distributable cash is determined. Token market value, unsold allocations and unconfirmed receivables are not cash received. The same service obligation shares a unique obligationId across payment assets and is reconciled using a fixed basis for measuring discharge. Confirmed payments and pending payments that could still take effect must not together exceed the approved amount payable. Changing the asset or transaction identifier creates no new payment authority.</w:t>
      </w:r>
    </w:p>
    <w:p>
      <w:pPr>
        <w:pStyle w:val="Heading2"/>
        <w:widowControl/>
      </w:pPr>
      <w:r>
        <w:rPr>
          <w:rFonts w:ascii="Calibri" w:hAnsi="Calibri" w:eastAsia="Songti SC"/>
          <w:color w:val="000000"/>
        </w:rPr>
        <w:t>7 3 Performance Bonds and Service Incentives</w:t>
      </w:r>
    </w:p>
    <w:p>
      <w:pPr>
        <w:widowControl/>
      </w:pPr>
      <w:r>
        <w:rPr>
          <w:rFonts w:ascii="Calibri" w:hAnsi="Calibri" w:eastAsia="Songti SC"/>
          <w:color w:val="000000"/>
        </w:rPr>
        <w:t>Performance bonds use BondRecord to record the responsible party, obligation, bond asset, locked amount, dispute window and authority to release or deduct funds. A bond supports performance obligations; it does not establish factual truth or automatically bear facility debt. If the bond asset is $RWAIX, its price and liquidity changes require stress testing. A shortfall limits new obligations or triggers additional protection under predefined rules; it must not be shifted to existing rights holders without authority.</w:t>
      </w:r>
    </w:p>
    <w:p>
      <w:pPr>
        <w:widowControl/>
      </w:pPr>
      <w:r>
        <w:rPr>
          <w:rFonts w:ascii="Calibri" w:hAnsi="Calibri" w:eastAsia="Songti SC"/>
          <w:color w:val="000000"/>
        </w:rPr>
        <w:t>RewardClaim binds a unique service, provider, verification result, amount and asset, and budget period. It enters claimable and claimed states only after deduplication, conflict checks, the approved dispute process and budget approval. Locking a bond does not itself produce a fixed return. Service compensation and separately approved staking incentives are disclosed separately. Unapproved rewards, buybacks, burns or APR are not presented as return commitments, and funds from new participants must not pay previously guaranteed returns. Reward sources are identified separately as earned service fees, approved subsidies or approved emissions. Amounts allocated but unclaimed, and amounts whose payment outcome is unknown, continue to consume the cumulative budget. A timeout, address change or cross-chain movement must not release that budget or credit the reward again.</w:t>
      </w:r>
    </w:p>
    <w:p>
      <w:pPr>
        <w:pStyle w:val="Heading2"/>
        <w:widowControl/>
      </w:pPr>
      <w:r>
        <w:rPr>
          <w:rFonts w:ascii="Calibri" w:hAnsi="Calibri" w:eastAsia="Songti SC"/>
          <w:color w:val="000000"/>
        </w:rPr>
        <w:t>7 4 Supply Governance and Sustainable Operations</w:t>
      </w:r>
    </w:p>
    <w:p>
      <w:pPr>
        <w:widowControl/>
      </w:pPr>
      <w:r>
        <w:rPr>
          <w:rFonts w:ascii="Calibri" w:hAnsi="Calibri" w:eastAsia="Songti SC"/>
          <w:color w:val="000000"/>
        </w:rPr>
        <w:t>The cap of 1,000,000,000 tokens and allocation from v3.3 are retained as a candidate design budget, not approved issuance or allocation. Amounts in the table are design ceilings. Sales, vesting and releases do not begin until the issuer, legal holders, recipient conditions, distribution routes, release schedules and final treatment of unearned allocations have been determined and approved. Team allocations, liquidity-wallet balances, unlocked amounts and actual circulating supply are disclosed separately. Cross-chain representations must not increase the unified economic supply.</w:t>
      </w:r>
    </w:p>
    <w:p>
      <w:pPr>
        <w:widowControl/>
      </w:pPr>
      <w:r>
        <w:rPr>
          <w:rFonts w:ascii="Calibri" w:hAnsi="Calibri" w:eastAsia="Songti SC"/>
          <w:color w:val="000000"/>
        </w:rPr>
        <w:t>$RWAIX governance operates only within authorized parameter scopes, with rules for proposals, eligibility, voting participation thresholds, conflicts, delayed execution and emergency protection. Voting does not directly control SPV funds or unilaterally change DCNFT weights, priority, security or remedies. Changes to supply, fee and reward parameters are constrained by the relevant legal entity and technical permissions together, with version and execution records retained.</w:t>
      </w:r>
    </w:p>
    <w:p>
      <w:pPr>
        <w:widowControl/>
      </w:pPr>
      <w:r>
        <w:rPr>
          <w:rFonts w:ascii="Calibri" w:hAnsi="Calibri" w:eastAsia="Songti SC"/>
          <w:color w:val="000000"/>
        </w:rPr>
        <w:t>Long-term economic sustainability should be driven by real service demand: customers pay agreed charges, eligible services receive compensation, and approved network fees support reconcilable operating expenditure. Reward budgets may support service development, but their sources, consumption rates and subsidy dependence must be disclosed. Acceptance testing also models cash needs and service costs without token appreciation or new financing and with reduced rewards, avoiding artificial demand created through circular incentives.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376"/>
        <w:gridCol w:w="2016"/>
        <w:gridCol w:w="5688"/>
      </w:tblGrid>
      <w:tr>
        <w:trPr>
          <w:cantSplit/>
          <w:tblHeader/>
        </w:trPr>
        <w:tc>
          <w:tcPr>
            <w:tcW w:type="dxa" w:w="2376"/>
            <w:vAlign w:val="center"/>
            <w:shd w:fill="E7EDF2"/>
          </w:tcPr>
          <w:p>
            <w:pPr>
              <w:spacing w:after="0" w:before="0" w:line="259" w:lineRule="auto"/>
            </w:pPr>
            <w:r>
              <w:rPr>
                <w:rFonts w:ascii="Calibri" w:hAnsi="Calibri" w:eastAsia="Songti SC"/>
                <w:b/>
                <w:color w:val="000000"/>
                <w:sz w:val="20"/>
              </w:rPr>
              <w:t>Candidate Use</w:t>
            </w:r>
          </w:p>
        </w:tc>
        <w:tc>
          <w:tcPr>
            <w:tcW w:type="dxa" w:w="2016"/>
            <w:vAlign w:val="center"/>
            <w:shd w:fill="E7EDF2"/>
          </w:tcPr>
          <w:p>
            <w:pPr>
              <w:spacing w:after="0" w:before="0" w:line="259" w:lineRule="auto"/>
            </w:pPr>
            <w:r>
              <w:rPr>
                <w:rFonts w:ascii="Calibri" w:hAnsi="Calibri" w:eastAsia="Songti SC"/>
                <w:b/>
                <w:color w:val="000000"/>
                <w:sz w:val="20"/>
              </w:rPr>
              <w:t>Share and Ceiling</w:t>
            </w:r>
          </w:p>
        </w:tc>
        <w:tc>
          <w:tcPr>
            <w:tcW w:type="dxa" w:w="5688"/>
            <w:vAlign w:val="center"/>
            <w:shd w:fill="E7EDF2"/>
          </w:tcPr>
          <w:p>
            <w:pPr>
              <w:spacing w:after="0" w:before="0" w:line="259" w:lineRule="auto"/>
            </w:pPr>
            <w:r>
              <w:rPr>
                <w:rFonts w:ascii="Calibri" w:hAnsi="Calibri" w:eastAsia="Songti SC"/>
                <w:b/>
                <w:color w:val="000000"/>
                <w:sz w:val="20"/>
              </w:rPr>
              <w:t>Conditions for Effectiveness</w:t>
            </w:r>
          </w:p>
        </w:tc>
      </w:tr>
      <w:tr>
        <w:trPr>
          <w:cantSplit/>
        </w:trPr>
        <w:tc>
          <w:tcPr>
            <w:tcW w:type="dxa" w:w="2376"/>
            <w:vAlign w:val="center"/>
            <w:shd w:fill="FFFFFF"/>
          </w:tcPr>
          <w:p>
            <w:pPr>
              <w:spacing w:after="0" w:before="0" w:line="259" w:lineRule="auto"/>
            </w:pPr>
            <w:r>
              <w:rPr>
                <w:rFonts w:ascii="Calibri" w:hAnsi="Calibri" w:eastAsia="Songti SC"/>
                <w:color w:val="000000"/>
                <w:sz w:val="20"/>
              </w:rPr>
              <w:t>Ecosystem and compute rewards</w:t>
            </w:r>
          </w:p>
        </w:tc>
        <w:tc>
          <w:tcPr>
            <w:tcW w:type="dxa" w:w="2016"/>
            <w:vAlign w:val="center"/>
            <w:shd w:fill="FFFFFF"/>
          </w:tcPr>
          <w:p>
            <w:pPr>
              <w:spacing w:after="0" w:before="0" w:line="259" w:lineRule="auto"/>
            </w:pPr>
            <w:r>
              <w:rPr>
                <w:rFonts w:ascii="Calibri" w:hAnsi="Calibri" w:eastAsia="Songti SC"/>
                <w:color w:val="000000"/>
                <w:sz w:val="20"/>
              </w:rPr>
              <w:t>40%  400,000,000</w:t>
            </w:r>
          </w:p>
        </w:tc>
        <w:tc>
          <w:tcPr>
            <w:tcW w:type="dxa" w:w="5688"/>
            <w:vAlign w:val="center"/>
            <w:shd w:fill="FFFFFF"/>
          </w:tcPr>
          <w:p>
            <w:pPr>
              <w:spacing w:after="0" w:before="0" w:line="259" w:lineRule="auto"/>
            </w:pPr>
            <w:r>
              <w:rPr>
                <w:rFonts w:ascii="Calibri" w:hAnsi="Calibri" w:eastAsia="Songti SC"/>
                <w:color w:val="000000"/>
                <w:sz w:val="20"/>
              </w:rPr>
              <w:t>Verified services, budgets, deduplication, distribution and treatment of unearned allocations</w:t>
            </w:r>
          </w:p>
        </w:tc>
      </w:tr>
      <w:tr>
        <w:trPr>
          <w:cantSplit/>
        </w:trPr>
        <w:tc>
          <w:tcPr>
            <w:tcW w:type="dxa" w:w="2376"/>
            <w:vAlign w:val="center"/>
            <w:shd w:fill="FFFFFF"/>
          </w:tcPr>
          <w:p>
            <w:pPr>
              <w:spacing w:after="0" w:before="0" w:line="259" w:lineRule="auto"/>
            </w:pPr>
            <w:r>
              <w:rPr>
                <w:rFonts w:ascii="Calibri" w:hAnsi="Calibri" w:eastAsia="Songti SC"/>
                <w:color w:val="000000"/>
                <w:sz w:val="20"/>
              </w:rPr>
              <w:t>Team and advisers</w:t>
            </w:r>
          </w:p>
        </w:tc>
        <w:tc>
          <w:tcPr>
            <w:tcW w:type="dxa" w:w="2016"/>
            <w:vAlign w:val="center"/>
            <w:shd w:fill="FFFFFF"/>
          </w:tcPr>
          <w:p>
            <w:pPr>
              <w:spacing w:after="0" w:before="0" w:line="259" w:lineRule="auto"/>
            </w:pPr>
            <w:r>
              <w:rPr>
                <w:rFonts w:ascii="Calibri" w:hAnsi="Calibri" w:eastAsia="Songti SC"/>
                <w:color w:val="000000"/>
                <w:sz w:val="20"/>
              </w:rPr>
              <w:t>15%  150,000,000</w:t>
            </w:r>
          </w:p>
        </w:tc>
        <w:tc>
          <w:tcPr>
            <w:tcW w:type="dxa" w:w="5688"/>
            <w:vAlign w:val="center"/>
            <w:shd w:fill="FFFFFF"/>
          </w:tcPr>
          <w:p>
            <w:pPr>
              <w:spacing w:after="0" w:before="0" w:line="259" w:lineRule="auto"/>
            </w:pPr>
            <w:r>
              <w:rPr>
                <w:rFonts w:ascii="Calibri" w:hAnsi="Calibri" w:eastAsia="Songti SC"/>
                <w:color w:val="000000"/>
                <w:sz w:val="20"/>
              </w:rPr>
              <w:t>Recipient eligibility, vesting conditions and complete release schedules</w:t>
            </w:r>
          </w:p>
        </w:tc>
      </w:tr>
      <w:tr>
        <w:trPr>
          <w:cantSplit/>
        </w:trPr>
        <w:tc>
          <w:tcPr>
            <w:tcW w:type="dxa" w:w="2376"/>
            <w:vAlign w:val="center"/>
            <w:shd w:fill="FFFFFF"/>
          </w:tcPr>
          <w:p>
            <w:pPr>
              <w:spacing w:after="0" w:before="0" w:line="259" w:lineRule="auto"/>
            </w:pPr>
            <w:r>
              <w:rPr>
                <w:rFonts w:ascii="Calibri" w:hAnsi="Calibri" w:eastAsia="Songti SC"/>
                <w:color w:val="000000"/>
                <w:sz w:val="20"/>
              </w:rPr>
              <w:t>Protocol reserve</w:t>
            </w:r>
          </w:p>
        </w:tc>
        <w:tc>
          <w:tcPr>
            <w:tcW w:type="dxa" w:w="2016"/>
            <w:vAlign w:val="center"/>
            <w:shd w:fill="FFFFFF"/>
          </w:tcPr>
          <w:p>
            <w:pPr>
              <w:spacing w:after="0" w:before="0" w:line="259" w:lineRule="auto"/>
            </w:pPr>
            <w:r>
              <w:rPr>
                <w:rFonts w:ascii="Calibri" w:hAnsi="Calibri" w:eastAsia="Songti SC"/>
                <w:color w:val="000000"/>
                <w:sz w:val="20"/>
              </w:rPr>
              <w:t>15%  150,000,000</w:t>
            </w:r>
          </w:p>
        </w:tc>
        <w:tc>
          <w:tcPr>
            <w:tcW w:type="dxa" w:w="5688"/>
            <w:vAlign w:val="center"/>
            <w:shd w:fill="FFFFFF"/>
          </w:tcPr>
          <w:p>
            <w:pPr>
              <w:spacing w:after="0" w:before="0" w:line="259" w:lineRule="auto"/>
            </w:pPr>
            <w:r>
              <w:rPr>
                <w:rFonts w:ascii="Calibri" w:hAnsi="Calibri" w:eastAsia="Songti SC"/>
                <w:color w:val="000000"/>
                <w:sz w:val="20"/>
              </w:rPr>
              <w:t>Legal holder, unlocking, expenditure approval and use restrictions</w:t>
            </w:r>
          </w:p>
        </w:tc>
      </w:tr>
      <w:tr>
        <w:trPr>
          <w:cantSplit/>
        </w:trPr>
        <w:tc>
          <w:tcPr>
            <w:tcW w:type="dxa" w:w="2376"/>
            <w:vAlign w:val="center"/>
            <w:shd w:fill="FFFFFF"/>
          </w:tcPr>
          <w:p>
            <w:pPr>
              <w:spacing w:after="0" w:before="0" w:line="259" w:lineRule="auto"/>
            </w:pPr>
            <w:r>
              <w:rPr>
                <w:rFonts w:ascii="Calibri" w:hAnsi="Calibri" w:eastAsia="Songti SC"/>
                <w:color w:val="000000"/>
                <w:sz w:val="20"/>
              </w:rPr>
              <w:t>Potential private allocation</w:t>
            </w:r>
          </w:p>
        </w:tc>
        <w:tc>
          <w:tcPr>
            <w:tcW w:type="dxa" w:w="2016"/>
            <w:vAlign w:val="center"/>
            <w:shd w:fill="FFFFFF"/>
          </w:tcPr>
          <w:p>
            <w:pPr>
              <w:spacing w:after="0" w:before="0" w:line="259" w:lineRule="auto"/>
            </w:pPr>
            <w:r>
              <w:rPr>
                <w:rFonts w:ascii="Calibri" w:hAnsi="Calibri" w:eastAsia="Songti SC"/>
                <w:color w:val="000000"/>
                <w:sz w:val="20"/>
              </w:rPr>
              <w:t>15%  150,000,000</w:t>
            </w:r>
          </w:p>
        </w:tc>
        <w:tc>
          <w:tcPr>
            <w:tcW w:type="dxa" w:w="5688"/>
            <w:vAlign w:val="center"/>
            <w:shd w:fill="FFFFFF"/>
          </w:tcPr>
          <w:p>
            <w:pPr>
              <w:spacing w:after="0" w:before="0" w:line="259" w:lineRule="auto"/>
            </w:pPr>
            <w:r>
              <w:rPr>
                <w:rFonts w:ascii="Calibri" w:hAnsi="Calibri" w:eastAsia="Songti SC"/>
                <w:color w:val="000000"/>
                <w:sz w:val="20"/>
              </w:rPr>
              <w:t>Issuance route, recipients, consideration and transfer restrictions</w:t>
            </w:r>
          </w:p>
        </w:tc>
      </w:tr>
      <w:tr>
        <w:trPr>
          <w:cantSplit/>
        </w:trPr>
        <w:tc>
          <w:tcPr>
            <w:tcW w:type="dxa" w:w="2376"/>
            <w:vAlign w:val="center"/>
            <w:shd w:fill="FFFFFF"/>
          </w:tcPr>
          <w:p>
            <w:pPr>
              <w:spacing w:after="0" w:before="0" w:line="259" w:lineRule="auto"/>
            </w:pPr>
            <w:r>
              <w:rPr>
                <w:rFonts w:ascii="Calibri" w:hAnsi="Calibri" w:eastAsia="Songti SC"/>
                <w:color w:val="000000"/>
                <w:sz w:val="20"/>
              </w:rPr>
              <w:t>Potential public allocation</w:t>
            </w:r>
          </w:p>
        </w:tc>
        <w:tc>
          <w:tcPr>
            <w:tcW w:type="dxa" w:w="2016"/>
            <w:vAlign w:val="center"/>
            <w:shd w:fill="FFFFFF"/>
          </w:tcPr>
          <w:p>
            <w:pPr>
              <w:spacing w:after="0" w:before="0" w:line="259" w:lineRule="auto"/>
            </w:pPr>
            <w:r>
              <w:rPr>
                <w:rFonts w:ascii="Calibri" w:hAnsi="Calibri" w:eastAsia="Songti SC"/>
                <w:color w:val="000000"/>
                <w:sz w:val="20"/>
              </w:rPr>
              <w:t>10%  100,000,000</w:t>
            </w:r>
          </w:p>
        </w:tc>
        <w:tc>
          <w:tcPr>
            <w:tcW w:type="dxa" w:w="5688"/>
            <w:vAlign w:val="center"/>
            <w:shd w:fill="FFFFFF"/>
          </w:tcPr>
          <w:p>
            <w:pPr>
              <w:spacing w:after="0" w:before="0" w:line="259" w:lineRule="auto"/>
            </w:pPr>
            <w:r>
              <w:rPr>
                <w:rFonts w:ascii="Calibri" w:hAnsi="Calibri" w:eastAsia="Songti SC"/>
                <w:color w:val="000000"/>
                <w:sz w:val="20"/>
              </w:rPr>
              <w:t>Applicable issuance and communication routes; no commitment to a public sale or IDO</w:t>
            </w:r>
          </w:p>
        </w:tc>
      </w:tr>
      <w:tr>
        <w:trPr>
          <w:cantSplit/>
        </w:trPr>
        <w:tc>
          <w:tcPr>
            <w:tcW w:type="dxa" w:w="2376"/>
            <w:vAlign w:val="center"/>
            <w:shd w:fill="FFFFFF"/>
          </w:tcPr>
          <w:p>
            <w:pPr>
              <w:spacing w:after="0" w:before="0" w:line="259" w:lineRule="auto"/>
            </w:pPr>
            <w:r>
              <w:rPr>
                <w:rFonts w:ascii="Calibri" w:hAnsi="Calibri" w:eastAsia="Songti SC"/>
                <w:color w:val="000000"/>
                <w:sz w:val="20"/>
              </w:rPr>
              <w:t>Initial liquidity budget</w:t>
            </w:r>
          </w:p>
        </w:tc>
        <w:tc>
          <w:tcPr>
            <w:tcW w:type="dxa" w:w="2016"/>
            <w:vAlign w:val="center"/>
            <w:shd w:fill="FFFFFF"/>
          </w:tcPr>
          <w:p>
            <w:pPr>
              <w:spacing w:after="0" w:before="0" w:line="259" w:lineRule="auto"/>
            </w:pPr>
            <w:r>
              <w:rPr>
                <w:rFonts w:ascii="Calibri" w:hAnsi="Calibri" w:eastAsia="Songti SC"/>
                <w:color w:val="000000"/>
                <w:sz w:val="20"/>
              </w:rPr>
              <w:t>5%  50,000,000</w:t>
            </w:r>
          </w:p>
        </w:tc>
        <w:tc>
          <w:tcPr>
            <w:tcW w:type="dxa" w:w="5688"/>
            <w:vAlign w:val="center"/>
            <w:shd w:fill="FFFFFF"/>
          </w:tcPr>
          <w:p>
            <w:pPr>
              <w:spacing w:after="0" w:before="0" w:line="259" w:lineRule="auto"/>
            </w:pPr>
            <w:r>
              <w:rPr>
                <w:rFonts w:ascii="Calibri" w:hAnsi="Calibri" w:eastAsia="Songti SC"/>
                <w:color w:val="000000"/>
                <w:sz w:val="20"/>
              </w:rPr>
              <w:t>Lawful venue, deployment conditions, market-making agreement and wallet reconciliation</w:t>
            </w:r>
          </w:p>
        </w:tc>
      </w:tr>
    </w:tbl>
    <w:p>
      <w:pPr>
        <w:widowControl/>
        <w:spacing w:after="20"/>
      </w:pPr>
    </w:p>
    <w:p>
      <w:pPr>
        <w:pStyle w:val="Heading1"/>
        <w:widowControl/>
      </w:pPr>
      <w:r>
        <w:rPr>
          <w:rFonts w:ascii="Calibri" w:hAnsi="Calibri" w:eastAsia="Songti SC"/>
          <w:color w:val="000000"/>
        </w:rPr>
        <w:t>8 Identity Qualifications and Open Participation</w:t>
      </w:r>
    </w:p>
    <w:p>
      <w:pPr>
        <w:widowControl/>
      </w:pPr>
      <w:r>
        <w:rPr>
          <w:rFonts w:ascii="Calibri" w:hAnsi="Calibri" w:eastAsia="Songti SC"/>
          <w:color w:val="000000"/>
        </w:rPr>
        <w:t>The identity layer supports natural persons, organizations, devices and software agents, but does not equate proof of key control with proof of a subject's identity. A device signature can demonstrate possession of a device key, and an organizational statement can demonstrate that an issuer made a claim. Real-world identity, institutional registration, qualifications and device ownership require their own evidence and verification processes. A DID is a method of identification and control; it does not automatically provide identity vetting, Sybil resistance or a trustless authority. [S1–S2]</w:t>
      </w:r>
    </w:p>
    <w:p>
      <w:pPr>
        <w:widowControl/>
      </w:pPr>
      <w:r>
        <w:rPr>
          <w:rFonts w:ascii="Calibri" w:hAnsi="Calibri" w:eastAsia="Songti SC"/>
          <w:color w:val="000000"/>
        </w:rPr>
        <w:t>Open participation is differentiated by activity. Browsing public specifications, developing adapters, verifying public proofs and submitting authorized evidence should not generally require investment eligibility. Issuing professional qualifications, receiving restricted data, controlling devices, handling funds or participating in regulated transactions requires the separate permissions and conditions appropriate to that activity. Participation by anyone does not mean that everyone may perform every operation.</w:t>
      </w:r>
    </w:p>
    <w:p>
      <w:pPr>
        <w:widowControl/>
      </w:pPr>
      <w:r>
        <w:rPr>
          <w:rFonts w:ascii="Calibri" w:hAnsi="Calibri" w:eastAsia="Songti SC"/>
          <w:color w:val="000000"/>
        </w:rPr>
        <w:t>Access can include ordinary wallets, smart accounts, access through institutional intermediaries and interfaces designed to lower technical barriers. Fee sponsorship, mobile workflows, multiple languages and recoverable accounts can reduce participation costs; sponsorship limits, rate limits, abuse controls and intermediaries' authority must be transparent. Depending on the product configuration, participants should be able to verify public objects and offline evidence without a native token or paid staking. Recovery, session permissions and budgets for smart accounts still require implementation by the specific account; adopting ERC-4337 alone does not establish those capabilities. [S9]</w:t>
      </w:r>
    </w:p>
    <w:p>
      <w:pPr>
        <w:widowControl/>
      </w:pPr>
      <w:r>
        <w:rPr>
          <w:rFonts w:ascii="Calibri" w:hAnsi="Calibri" w:eastAsia="Songti SC"/>
          <w:color w:val="000000"/>
        </w:rPr>
        <w:t>Credential issuers' authority must have a scope and validity period. The protocol can record an issuer's institutional affiliation, permitted scope and status, but deciding which issuer to accept remains a policy choice tied to the intended use. For participants unable to supply a particular credential, applications should explain alternative evidence routes, functional limits and appeal procedures, rather than interpreting missing evidence as personal untrustworthiness.</w:t>
      </w:r>
    </w:p>
    <w:p>
      <w:pPr>
        <w:widowControl/>
      </w:pPr>
      <w:r>
        <w:rPr>
          <w:rFonts w:ascii="Calibri" w:hAnsi="Calibri" w:eastAsia="Songti SC"/>
          <w:color w:val="000000"/>
        </w:rPr>
        <w:t>Role eligibility and token holdings are verified separately. Ordinary users may establish identities and submit proofs under the applicable rules. Node roles with economic responsibilities may be subject to approved performance-bond requirements, while DCNFT purchasers undergo separate offering and transfer eligibility checks. $RWAIX holdings, voting power or staked amounts cannot replace qualification evidence or generate a personal trustworthiness score.</w:t>
      </w:r>
    </w:p>
    <w:p>
      <w:pPr>
        <w:pStyle w:val="Heading1"/>
        <w:widowControl/>
      </w:pPr>
      <w:r>
        <w:rPr>
          <w:rFonts w:ascii="Calibri" w:hAnsi="Calibri" w:eastAsia="Songti SC"/>
          <w:color w:val="000000"/>
        </w:rPr>
        <w:t>9 Claims Evidence and Dependency Graphs</w:t>
      </w:r>
    </w:p>
    <w:p>
      <w:pPr>
        <w:widowControl/>
      </w:pPr>
      <w:r>
        <w:rPr>
          <w:rFonts w:ascii="Calibri" w:hAnsi="Calibri" w:eastAsia="Songti SC"/>
          <w:color w:val="000000"/>
        </w:rPr>
        <w:t>CredentialEnvelope stores issuer, subjectRef, claimsDigest, schemaId, validFrom, validUntil, statusRef and proofSuite. Its source document may be a verifiable credential, a signed attestation or an adapted industry-specific proof. EvidenceBundle associates observationRef, source, captureTime, integrityProof, availabilityPolicy and relevant credentials. Adapters must distinguish observed facts, issuer claims, third-party opinions and algorithmic inferences. A custom Envelope is a container; it may be described as a conforming VC only when the complete profile of the selected standard is satisfied. Adaptation must not discard the original signature, subject or status semantics. [S2]</w:t>
      </w:r>
    </w:p>
    <w:p>
      <w:pPr>
        <w:widowControl/>
      </w:pPr>
      <w:r>
        <w:rPr>
          <w:rFonts w:ascii="Calibri" w:hAnsi="Calibri" w:eastAsia="Songti SC"/>
          <w:color w:val="000000"/>
        </w:rPr>
        <w:t>Typed edges in the evidence graph express who issued a statement, which observation it relies on, which action it authorizes, which version it supersedes and who reviewed it. Nodes should carry identifiers for provenance and controlling parties. The same original evidence repackaged by several intermediaries must not automatically count as multiple independent sources. A cycle of mutual endorsements cannot generate its own root of trust; verification rules should include cycle detection, limits on dependency depth and clustering of parties under common control. Provenance relationships may record historical cycles, but the dependency subgraph used to derive a verification conclusion must be acyclic and subject to limits on node count, edge count and evaluation depth. Violations return explicit errors.</w:t>
      </w:r>
    </w:p>
    <w:p>
      <w:pPr>
        <w:widowControl/>
      </w:pPr>
      <w:r>
        <w:rPr>
          <w:rFonts w:ascii="Calibri" w:hAnsi="Calibri" w:eastAsia="Songti SC"/>
          <w:color w:val="000000"/>
        </w:rPr>
        <w:t>Facts about the physical world depend on their input paths. Asset existence, delivery of goods, device location and human conduct may require on-site inspection, independent observations or dispute procedures. The protocol preserves observation methods, device identities, signature times and anomaly flags so that verifiers can see the trust assumptions. Consensus can consistently record an incorrect input; multiple sensors controlled by the same party do not constitute independent evidence.</w:t>
      </w:r>
    </w:p>
    <w:p>
      <w:pPr>
        <w:widowControl/>
      </w:pPr>
      <w:r>
        <w:rPr>
          <w:rFonts w:ascii="Calibri" w:hAnsi="Calibri" w:eastAsia="Songti SC"/>
          <w:color w:val="000000"/>
        </w:rPr>
        <w:t>An evidence package must include the formats, algorithm identifiers, versions and retrieval conditions needed to replay verification. If data is unavailable, beyond its retention period or inaccessible to the verifier, the result should identify the resulting capability gap. On-chain anchoring does not replace availability safeguards. Retention periods, redundancy, access permissions, backups and deletion responsibilities form part of the deployment contract.</w:t>
      </w:r>
    </w:p>
    <w:p>
      <w:pPr>
        <w:widowControl/>
      </w:pPr>
      <w:r>
        <w:rPr>
          <w:rFonts w:ascii="Calibri" w:hAnsi="Calibri" w:eastAsia="Songti SC"/>
          <w:color w:val="000000"/>
        </w:rPr>
        <w:t>Economic events must state their evidentiary scope when added to the evidence graph: a DCNFT register event supports a series holding relationship, a fee receipt supports a confirmed payment event, and reward verification supports a specific service contribution. Wash trading, circular calls or mutual endorsements among affiliated nodes must not earn rewards directly on the basis of transaction volume. Evidence for the same service is deduplicated using a unique business identifier, with known common-control relationships identified.</w:t>
      </w:r>
    </w:p>
    <w:p>
      <w:pPr>
        <w:pStyle w:val="Heading1"/>
        <w:widowControl/>
      </w:pPr>
      <w:r>
        <w:rPr>
          <w:rFonts w:ascii="Calibri" w:hAnsi="Calibri" w:eastAsia="Songti SC"/>
          <w:color w:val="000000"/>
        </w:rPr>
        <w:t>10 Contextual Policies and Portable Trust Receipts</w:t>
      </w:r>
    </w:p>
    <w:p>
      <w:pPr>
        <w:widowControl/>
      </w:pPr>
      <w:r>
        <w:rPr>
          <w:rFonts w:ascii="Calibri" w:hAnsi="Calibri" w:eastAsia="Songti SC"/>
          <w:color w:val="000000"/>
        </w:rPr>
        <w:t>RWAIX uses TrustContext to specify the audience, purpose, object, requested action, jurisdiction or business domain, challenge nonce, deadline and policy version for a verification request. TrustPolicy is a fixed-version rule set defining permitted issuers, required predicates, evidence freshness, necessary independent sources and failure handling. Instead of blending all evidence into a global score, the protocol preserves individual evaluations and their dependencies.</w:t>
      </w:r>
    </w:p>
    <w:p>
      <w:pPr>
        <w:widowControl/>
      </w:pPr>
      <w:r>
        <w:rPr>
          <w:rFonts w:ascii="Calibri" w:hAnsi="Calibri" w:eastAsia="Songti SC"/>
          <w:color w:val="000000"/>
        </w:rPr>
        <w:t>Verification first checks structure and signatures, then subject bindings, issuer authority, status, time, context and evidence dependencies, before running a deterministic policy. For the same normalized input, policy version and state snapshot, conforming implementations should produce the same result. Live network queries must be converted into input snapshots with provenance and timestamps; otherwise, different machines cannot be expected to reproduce the original decision fully. The verifier first creates a separate PolicyDecision that fixes ruleSetDigest, engineVersion, engineBuildDigest, inputSnapshotDigest, dependencyGraphDigest, predicateResults and reasonCodes, then includes its decisionRef in the receipt. Rule changes, additional inputs and human adjudication each produce a new decision rather than overwriting the previous result. Evaluation must not implicitly read the live clock, random values or model outputs; any necessary external values are supplied as fixed inputs. Successful historical replay does not establish that execution is still permitted now.</w:t>
      </w:r>
    </w:p>
    <w:p>
      <w:pPr>
        <w:widowControl/>
      </w:pPr>
      <w:r>
        <w:rPr>
          <w:rFonts w:ascii="Calibri" w:hAnsi="Calibri" w:eastAsia="Songti SC"/>
          <w:color w:val="000000"/>
        </w:rPr>
        <w:t>TrustReceipt records contextDigest, policyDigest, decisionRef, evidenceRoot, objectVersion, statusSnapshotRef, stateReference, evaluatedAt, validUntil, predicateResults, decision, reasonCodes, verifierRef and a signature. ALLOW means that the request satisfies the rules under the specified dependencies; DENY means that a failure to satisfy a requirement has been established; INDETERMINATE means that essential facts or evidence are insufficient. States such as EXPIRED, REVOKED and DISPUTED are recorded as explicit reasons and dependency states and must not be treated as ALLOW.</w:t>
      </w:r>
    </w:p>
    <w:p>
      <w:pPr>
        <w:widowControl/>
      </w:pPr>
      <w:r>
        <w:rPr>
          <w:rFonts w:ascii="Calibri" w:hAnsi="Calibri" w:eastAsia="Songti SC"/>
          <w:color w:val="000000"/>
        </w:rPr>
        <w:t>A portable receipt can be used in two ways: the relying party can accept the verifier's signed conclusion, or independently replay verification if authorized to obtain the necessary evidence. The former still trusts the verifier; the latter still trusts the accepted evidence roots and observation methods. A zero-knowledge proof can establish that specified predicates or computations satisfy constraints. Its applicable circuit, public inputs, trusted setup and privacy leakage must be explicit. A valid proof does not establish facts outside the circuit's coverage.</w:t>
      </w:r>
    </w:p>
    <w:p>
      <w:pPr>
        <w:widowControl/>
      </w:pPr>
      <w:r>
        <w:rPr>
          <w:rFonts w:ascii="Calibri" w:hAnsi="Calibri" w:eastAsia="Songti SC"/>
          <w:color w:val="000000"/>
        </w:rPr>
        <w:t>Dual-token adapters bind applicable fields such as tokenRef, seriesId, rightsDocumentDigest, quoteId and rewardClaimId to the context, version and evidence snapshot, explicitly omitting fields that do not apply. A TrustReceipt may state which rules a particular rights-transfer or fee request satisfies, but does not itself change the register, debit funds, establish reward entitlement or allocate cash. Those actions still require separate authorization and confirmation of final state.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72"/>
        <w:gridCol w:w="4320"/>
        <w:gridCol w:w="3888"/>
      </w:tblGrid>
      <w:tr>
        <w:trPr>
          <w:cantSplit/>
          <w:tblHeader/>
        </w:trPr>
        <w:tc>
          <w:tcPr>
            <w:tcW w:type="dxa" w:w="1872"/>
            <w:vAlign w:val="center"/>
            <w:shd w:fill="E7EDF2"/>
          </w:tcPr>
          <w:p>
            <w:pPr>
              <w:spacing w:after="0" w:before="0" w:line="259" w:lineRule="auto"/>
            </w:pPr>
            <w:r>
              <w:rPr>
                <w:rFonts w:ascii="Calibri" w:hAnsi="Calibri" w:eastAsia="Songti SC"/>
                <w:b/>
                <w:color w:val="000000"/>
                <w:sz w:val="20"/>
              </w:rPr>
              <w:t>Core Object</w:t>
            </w:r>
          </w:p>
        </w:tc>
        <w:tc>
          <w:tcPr>
            <w:tcW w:type="dxa" w:w="4320"/>
            <w:vAlign w:val="center"/>
            <w:shd w:fill="E7EDF2"/>
          </w:tcPr>
          <w:p>
            <w:pPr>
              <w:spacing w:after="0" w:before="0" w:line="259" w:lineRule="auto"/>
            </w:pPr>
            <w:r>
              <w:rPr>
                <w:rFonts w:ascii="Calibri" w:hAnsi="Calibri" w:eastAsia="Songti SC"/>
                <w:b/>
                <w:color w:val="000000"/>
                <w:sz w:val="20"/>
              </w:rPr>
              <w:t>Required Linking Fields</w:t>
            </w:r>
          </w:p>
        </w:tc>
        <w:tc>
          <w:tcPr>
            <w:tcW w:type="dxa" w:w="3888"/>
            <w:vAlign w:val="center"/>
            <w:shd w:fill="E7EDF2"/>
          </w:tcPr>
          <w:p>
            <w:pPr>
              <w:spacing w:after="0" w:before="0" w:line="259" w:lineRule="auto"/>
            </w:pPr>
            <w:r>
              <w:rPr>
                <w:rFonts w:ascii="Calibri" w:hAnsi="Calibri" w:eastAsia="Songti SC"/>
                <w:b/>
                <w:color w:val="000000"/>
                <w:sz w:val="20"/>
              </w:rPr>
              <w:t>Security Purpose</w:t>
            </w:r>
          </w:p>
        </w:tc>
      </w:tr>
      <w:tr>
        <w:trPr>
          <w:cantSplit/>
        </w:trPr>
        <w:tc>
          <w:tcPr>
            <w:tcW w:type="dxa" w:w="1872"/>
            <w:vAlign w:val="center"/>
            <w:shd w:fill="FFFFFF"/>
          </w:tcPr>
          <w:p>
            <w:pPr>
              <w:spacing w:after="0" w:before="0" w:line="259" w:lineRule="auto"/>
            </w:pPr>
            <w:r>
              <w:rPr>
                <w:rFonts w:ascii="Calibri" w:hAnsi="Calibri" w:eastAsia="Songti SC"/>
                <w:color w:val="000000"/>
                <w:sz w:val="20"/>
              </w:rPr>
              <w:t>TrustObject</w:t>
            </w:r>
          </w:p>
        </w:tc>
        <w:tc>
          <w:tcPr>
            <w:tcW w:type="dxa" w:w="4320"/>
            <w:vAlign w:val="center"/>
            <w:shd w:fill="FFFFFF"/>
          </w:tcPr>
          <w:p>
            <w:pPr>
              <w:spacing w:after="0" w:before="0" w:line="259" w:lineRule="auto"/>
            </w:pPr>
            <w:r>
              <w:rPr>
                <w:rFonts w:ascii="Calibri" w:hAnsi="Calibri" w:eastAsia="Songti SC"/>
                <w:color w:val="000000"/>
                <w:sz w:val="20"/>
              </w:rPr>
              <w:t>objectRef, bindingVersion, schemaId, controller, subjectBinding</w:t>
            </w:r>
          </w:p>
        </w:tc>
        <w:tc>
          <w:tcPr>
            <w:tcW w:type="dxa" w:w="3888"/>
            <w:vAlign w:val="center"/>
            <w:shd w:fill="FFFFFF"/>
          </w:tcPr>
          <w:p>
            <w:pPr>
              <w:spacing w:after="0" w:before="0" w:line="259" w:lineRule="auto"/>
            </w:pPr>
            <w:r>
              <w:rPr>
                <w:rFonts w:ascii="Calibri" w:hAnsi="Calibri" w:eastAsia="Songti SC"/>
                <w:color w:val="000000"/>
                <w:sz w:val="20"/>
              </w:rPr>
              <w:t>Distinguishes objects, subjects, controllers and legal rights</w:t>
            </w:r>
          </w:p>
        </w:tc>
      </w:tr>
      <w:tr>
        <w:trPr>
          <w:cantSplit/>
        </w:trPr>
        <w:tc>
          <w:tcPr>
            <w:tcW w:type="dxa" w:w="1872"/>
            <w:vAlign w:val="center"/>
            <w:shd w:fill="FFFFFF"/>
          </w:tcPr>
          <w:p>
            <w:pPr>
              <w:spacing w:after="0" w:before="0" w:line="259" w:lineRule="auto"/>
            </w:pPr>
            <w:r>
              <w:rPr>
                <w:rFonts w:ascii="Calibri" w:hAnsi="Calibri" w:eastAsia="Songti SC"/>
                <w:color w:val="000000"/>
                <w:sz w:val="20"/>
              </w:rPr>
              <w:t>CredentialEnvelope</w:t>
            </w:r>
          </w:p>
        </w:tc>
        <w:tc>
          <w:tcPr>
            <w:tcW w:type="dxa" w:w="4320"/>
            <w:vAlign w:val="center"/>
            <w:shd w:fill="FFFFFF"/>
          </w:tcPr>
          <w:p>
            <w:pPr>
              <w:spacing w:after="0" w:before="0" w:line="259" w:lineRule="auto"/>
            </w:pPr>
            <w:r>
              <w:rPr>
                <w:rFonts w:ascii="Calibri" w:hAnsi="Calibri" w:eastAsia="Songti SC"/>
                <w:color w:val="000000"/>
                <w:sz w:val="20"/>
              </w:rPr>
              <w:t>issuer, subjectRef, claimsDigest, validUntil, statusRef</w:t>
            </w:r>
          </w:p>
        </w:tc>
        <w:tc>
          <w:tcPr>
            <w:tcW w:type="dxa" w:w="3888"/>
            <w:vAlign w:val="center"/>
            <w:shd w:fill="FFFFFF"/>
          </w:tcPr>
          <w:p>
            <w:pPr>
              <w:spacing w:after="0" w:before="0" w:line="259" w:lineRule="auto"/>
            </w:pPr>
            <w:r>
              <w:rPr>
                <w:rFonts w:ascii="Calibri" w:hAnsi="Calibri" w:eastAsia="Songti SC"/>
                <w:color w:val="000000"/>
                <w:sz w:val="20"/>
              </w:rPr>
              <w:t>Constrains claim provenance, qualifications and lifecycle</w:t>
            </w:r>
          </w:p>
        </w:tc>
      </w:tr>
      <w:tr>
        <w:trPr>
          <w:cantSplit/>
        </w:trPr>
        <w:tc>
          <w:tcPr>
            <w:tcW w:type="dxa" w:w="1872"/>
            <w:vAlign w:val="center"/>
            <w:shd w:fill="FFFFFF"/>
          </w:tcPr>
          <w:p>
            <w:pPr>
              <w:spacing w:after="0" w:before="0" w:line="259" w:lineRule="auto"/>
            </w:pPr>
            <w:r>
              <w:rPr>
                <w:rFonts w:ascii="Calibri" w:hAnsi="Calibri" w:eastAsia="Songti SC"/>
                <w:color w:val="000000"/>
                <w:sz w:val="20"/>
              </w:rPr>
              <w:t>TrustContext</w:t>
            </w:r>
          </w:p>
        </w:tc>
        <w:tc>
          <w:tcPr>
            <w:tcW w:type="dxa" w:w="4320"/>
            <w:vAlign w:val="center"/>
            <w:shd w:fill="FFFFFF"/>
          </w:tcPr>
          <w:p>
            <w:pPr>
              <w:spacing w:after="0" w:before="0" w:line="259" w:lineRule="auto"/>
            </w:pPr>
            <w:r>
              <w:rPr>
                <w:rFonts w:ascii="Calibri" w:hAnsi="Calibri" w:eastAsia="Songti SC"/>
                <w:color w:val="000000"/>
                <w:sz w:val="20"/>
              </w:rPr>
              <w:t>audience, purpose, action, nonce, deadline, policyDigest</w:t>
            </w:r>
          </w:p>
        </w:tc>
        <w:tc>
          <w:tcPr>
            <w:tcW w:type="dxa" w:w="3888"/>
            <w:vAlign w:val="center"/>
            <w:shd w:fill="FFFFFF"/>
          </w:tcPr>
          <w:p>
            <w:pPr>
              <w:spacing w:after="0" w:before="0" w:line="259" w:lineRule="auto"/>
            </w:pPr>
            <w:r>
              <w:rPr>
                <w:rFonts w:ascii="Calibri" w:hAnsi="Calibri" w:eastAsia="Songti SC"/>
                <w:color w:val="000000"/>
                <w:sz w:val="20"/>
              </w:rPr>
              <w:t>Limits proof use and prevents replay across contexts</w:t>
            </w:r>
          </w:p>
        </w:tc>
      </w:tr>
      <w:tr>
        <w:trPr>
          <w:cantSplit/>
        </w:trPr>
        <w:tc>
          <w:tcPr>
            <w:tcW w:type="dxa" w:w="1872"/>
            <w:vAlign w:val="center"/>
            <w:shd w:fill="FFFFFF"/>
          </w:tcPr>
          <w:p>
            <w:pPr>
              <w:spacing w:after="0" w:before="0" w:line="259" w:lineRule="auto"/>
            </w:pPr>
            <w:r>
              <w:rPr>
                <w:rFonts w:ascii="Calibri" w:hAnsi="Calibri" w:eastAsia="Songti SC"/>
                <w:color w:val="000000"/>
                <w:sz w:val="20"/>
              </w:rPr>
              <w:t>EvidenceBundle</w:t>
            </w:r>
          </w:p>
        </w:tc>
        <w:tc>
          <w:tcPr>
            <w:tcW w:type="dxa" w:w="4320"/>
            <w:vAlign w:val="center"/>
            <w:shd w:fill="FFFFFF"/>
          </w:tcPr>
          <w:p>
            <w:pPr>
              <w:spacing w:after="0" w:before="0" w:line="259" w:lineRule="auto"/>
            </w:pPr>
            <w:r>
              <w:rPr>
                <w:rFonts w:ascii="Calibri" w:hAnsi="Calibri" w:eastAsia="Songti SC"/>
                <w:color w:val="000000"/>
                <w:sz w:val="20"/>
              </w:rPr>
              <w:t>evidenceRoot, dependencyRefs, sourceControllers, availabilityPolicy</w:t>
            </w:r>
          </w:p>
        </w:tc>
        <w:tc>
          <w:tcPr>
            <w:tcW w:type="dxa" w:w="3888"/>
            <w:vAlign w:val="center"/>
            <w:shd w:fill="FFFFFF"/>
          </w:tcPr>
          <w:p>
            <w:pPr>
              <w:spacing w:after="0" w:before="0" w:line="259" w:lineRule="auto"/>
            </w:pPr>
            <w:r>
              <w:rPr>
                <w:rFonts w:ascii="Calibri" w:hAnsi="Calibri" w:eastAsia="Songti SC"/>
                <w:color w:val="000000"/>
                <w:sz w:val="20"/>
              </w:rPr>
              <w:t>Supports provenance tracing, dependency detection and review</w:t>
            </w:r>
          </w:p>
        </w:tc>
      </w:tr>
      <w:tr>
        <w:trPr>
          <w:cantSplit/>
        </w:trPr>
        <w:tc>
          <w:tcPr>
            <w:tcW w:type="dxa" w:w="1872"/>
            <w:vAlign w:val="center"/>
            <w:shd w:fill="FFFFFF"/>
          </w:tcPr>
          <w:p>
            <w:pPr>
              <w:spacing w:after="0" w:before="0" w:line="259" w:lineRule="auto"/>
            </w:pPr>
            <w:r>
              <w:rPr>
                <w:rFonts w:ascii="Calibri" w:hAnsi="Calibri" w:eastAsia="Songti SC"/>
                <w:color w:val="000000"/>
                <w:sz w:val="20"/>
              </w:rPr>
              <w:t>PolicyDecision</w:t>
            </w:r>
          </w:p>
        </w:tc>
        <w:tc>
          <w:tcPr>
            <w:tcW w:type="dxa" w:w="4320"/>
            <w:vAlign w:val="center"/>
            <w:shd w:fill="FFFFFF"/>
          </w:tcPr>
          <w:p>
            <w:pPr>
              <w:spacing w:after="0" w:before="0" w:line="259" w:lineRule="auto"/>
            </w:pPr>
            <w:r>
              <w:rPr>
                <w:rFonts w:ascii="Calibri" w:hAnsi="Calibri" w:eastAsia="Songti SC"/>
                <w:color w:val="000000"/>
                <w:sz w:val="20"/>
              </w:rPr>
              <w:t>ruleSetDigest, engineVersion, engineBuildDigest, inputSnapshotDigest, dependencyGraphDigest</w:t>
            </w:r>
          </w:p>
        </w:tc>
        <w:tc>
          <w:tcPr>
            <w:tcW w:type="dxa" w:w="3888"/>
            <w:vAlign w:val="center"/>
            <w:shd w:fill="FFFFFF"/>
          </w:tcPr>
          <w:p>
            <w:pPr>
              <w:spacing w:after="0" w:before="0" w:line="259" w:lineRule="auto"/>
            </w:pPr>
            <w:r>
              <w:rPr>
                <w:rFonts w:ascii="Calibri" w:hAnsi="Calibri" w:eastAsia="Songti SC"/>
                <w:color w:val="000000"/>
                <w:sz w:val="20"/>
              </w:rPr>
              <w:t>Fixes rules and inputs and preserves predicate evaluations and independently versioned decisions</w:t>
            </w:r>
          </w:p>
        </w:tc>
      </w:tr>
      <w:tr>
        <w:trPr>
          <w:cantSplit/>
        </w:trPr>
        <w:tc>
          <w:tcPr>
            <w:tcW w:type="dxa" w:w="1872"/>
            <w:vAlign w:val="center"/>
            <w:shd w:fill="FFFFFF"/>
          </w:tcPr>
          <w:p>
            <w:pPr>
              <w:spacing w:after="0" w:before="0" w:line="259" w:lineRule="auto"/>
            </w:pPr>
            <w:r>
              <w:rPr>
                <w:rFonts w:ascii="Calibri" w:hAnsi="Calibri" w:eastAsia="Songti SC"/>
                <w:color w:val="000000"/>
                <w:sz w:val="20"/>
              </w:rPr>
              <w:t>TrustReceipt</w:t>
            </w:r>
          </w:p>
        </w:tc>
        <w:tc>
          <w:tcPr>
            <w:tcW w:type="dxa" w:w="4320"/>
            <w:vAlign w:val="center"/>
            <w:shd w:fill="FFFFFF"/>
          </w:tcPr>
          <w:p>
            <w:pPr>
              <w:spacing w:after="0" w:before="0" w:line="259" w:lineRule="auto"/>
            </w:pPr>
            <w:r>
              <w:rPr>
                <w:rFonts w:ascii="Calibri" w:hAnsi="Calibri" w:eastAsia="Songti SC"/>
                <w:color w:val="000000"/>
                <w:sz w:val="20"/>
              </w:rPr>
              <w:t>contextDigest, predicateResults, decision, statusSnapshotRef, verifierRef</w:t>
            </w:r>
          </w:p>
        </w:tc>
        <w:tc>
          <w:tcPr>
            <w:tcW w:type="dxa" w:w="3888"/>
            <w:vAlign w:val="center"/>
            <w:shd w:fill="FFFFFF"/>
          </w:tcPr>
          <w:p>
            <w:pPr>
              <w:spacing w:after="0" w:before="0" w:line="259" w:lineRule="auto"/>
            </w:pPr>
            <w:r>
              <w:rPr>
                <w:rFonts w:ascii="Calibri" w:hAnsi="Calibri" w:eastAsia="Songti SC"/>
                <w:color w:val="000000"/>
                <w:sz w:val="20"/>
              </w:rPr>
              <w:t>Preserves a reviewable, conditional verification conclusion</w:t>
            </w:r>
          </w:p>
        </w:tc>
      </w:tr>
      <w:tr>
        <w:trPr>
          <w:cantSplit/>
        </w:trPr>
        <w:tc>
          <w:tcPr>
            <w:tcW w:type="dxa" w:w="1872"/>
            <w:vAlign w:val="center"/>
            <w:shd w:fill="FFFFFF"/>
          </w:tcPr>
          <w:p>
            <w:pPr>
              <w:spacing w:after="0" w:before="0" w:line="259" w:lineRule="auto"/>
            </w:pPr>
            <w:r>
              <w:rPr>
                <w:rFonts w:ascii="Calibri" w:hAnsi="Calibri" w:eastAsia="Songti SC"/>
                <w:color w:val="000000"/>
                <w:sz w:val="20"/>
              </w:rPr>
              <w:t>ExecutionIntent</w:t>
            </w:r>
          </w:p>
        </w:tc>
        <w:tc>
          <w:tcPr>
            <w:tcW w:type="dxa" w:w="4320"/>
            <w:vAlign w:val="center"/>
            <w:shd w:fill="FFFFFF"/>
          </w:tcPr>
          <w:p>
            <w:pPr>
              <w:spacing w:after="0" w:before="0" w:line="259" w:lineRule="auto"/>
            </w:pPr>
            <w:r>
              <w:rPr>
                <w:rFonts w:ascii="Calibri" w:hAnsi="Calibri" w:eastAsia="Songti SC"/>
                <w:color w:val="000000"/>
                <w:sz w:val="20"/>
              </w:rPr>
              <w:t>receiptRef, actionDigest, amountLimit, nonce, expiry, authorizers</w:t>
            </w:r>
          </w:p>
        </w:tc>
        <w:tc>
          <w:tcPr>
            <w:tcW w:type="dxa" w:w="3888"/>
            <w:vAlign w:val="center"/>
            <w:shd w:fill="FFFFFF"/>
          </w:tcPr>
          <w:p>
            <w:pPr>
              <w:spacing w:after="0" w:before="0" w:line="259" w:lineRule="auto"/>
            </w:pPr>
            <w:r>
              <w:rPr>
                <w:rFonts w:ascii="Calibri" w:hAnsi="Calibri" w:eastAsia="Songti SC"/>
                <w:color w:val="000000"/>
                <w:sz w:val="20"/>
              </w:rPr>
              <w:t>Connects the verification conclusion to independent execution authorization</w:t>
            </w:r>
          </w:p>
        </w:tc>
      </w:tr>
    </w:tbl>
    <w:p>
      <w:pPr>
        <w:widowControl/>
        <w:spacing w:after="20"/>
      </w:pPr>
    </w:p>
    <w:p>
      <w:pPr>
        <w:pStyle w:val="Heading1"/>
        <w:widowControl/>
      </w:pPr>
      <w:r>
        <w:rPr>
          <w:rFonts w:ascii="Calibri" w:hAnsi="Calibri" w:eastAsia="Songti SC"/>
          <w:color w:val="000000"/>
        </w:rPr>
        <w:t>11 Privacy Minimal Disclosure and Revocable Status</w:t>
      </w:r>
    </w:p>
    <w:p>
      <w:pPr>
        <w:widowControl/>
      </w:pPr>
      <w:r>
        <w:rPr>
          <w:rFonts w:ascii="Calibri" w:hAnsi="Calibri" w:eastAsia="Songti SC"/>
          <w:color w:val="000000"/>
        </w:rPr>
        <w:t>Privacy design begins with data minimization: identity documents, contact details, original contracts, sensitive business data and plaintext that directly reveals identity do not belong on a public chain. Hashing is not anonymization. Low-entropy fields may be enumerated through dictionary attacks, while public timestamps, addresses and relationship graphs may also reidentify subjects. Commitments require appropriate randomness; indexes and access logs also belong in the privacy threat model.</w:t>
      </w:r>
    </w:p>
    <w:p>
      <w:pPr>
        <w:widowControl/>
      </w:pPr>
      <w:r>
        <w:rPr>
          <w:rFonts w:ascii="Calibri" w:hAnsi="Calibri" w:eastAsia="Songti SC"/>
          <w:color w:val="000000"/>
        </w:rPr>
        <w:t>Selective disclosure reveals only the fields needed for the current purpose. With an appropriate proof suite, predicate proofs can replace complete records for propositions such as age or qualification thresholds. Proof methods differ in linkability, computational cost and support for revocation. Each protocol profile fixes its security suite and verification procedure; it cannot assume that every credential inherently supports hiding arbitrary fields or generating zero-knowledge proofs.</w:t>
      </w:r>
    </w:p>
    <w:p>
      <w:pPr>
        <w:widowControl/>
      </w:pPr>
      <w:r>
        <w:rPr>
          <w:rFonts w:ascii="Calibri" w:hAnsi="Calibri" w:eastAsia="Songti SC"/>
          <w:color w:val="000000"/>
        </w:rPr>
        <w:t>Status checks must balance freshness and privacy. Batch status lists, caching or proven status snapshots can reduce the risk of revealing a subject's activity through individual queries. List update times, permitted staleness windows and handling of status-service failures must still be defined. High-risk operations should pause or move to human review when status is uncertain, rather than silently falling back to acceptance. When using a Bitstring Status List, the list's signature, purpose, index, validity period and issuer authority must be verified. Irreversible revocation and reversible suspension are handled separately. [S3]</w:t>
      </w:r>
    </w:p>
    <w:p>
      <w:pPr>
        <w:widowControl/>
      </w:pPr>
      <w:r>
        <w:rPr>
          <w:rFonts w:ascii="Calibri" w:hAnsi="Calibri" w:eastAsia="Songti SC"/>
          <w:color w:val="000000"/>
        </w:rPr>
        <w:t>Revocation, suspension or expiry requires future dependency evaluations to be updated; it does not erase history. Earlier receipts retain the rules and status snapshots used at the time, while new operations recheck current status. Off-chain deletion must also address copies and access permissions. Complete deletion of existing commitments on a public chain cannot be promised, so sensitive data should remain off-chain from the outset.</w:t>
      </w:r>
    </w:p>
    <w:p>
      <w:pPr>
        <w:widowControl/>
      </w:pPr>
      <w:r>
        <w:rPr>
          <w:rFonts w:ascii="Calibri" w:hAnsi="Calibri" w:eastAsia="Songti SC"/>
          <w:color w:val="000000"/>
        </w:rPr>
        <w:t>DCNFT investor eligibility, holdings and distribution data, together with node bond and reward data, are subject to role-based minimal disclosure. Revoking a qualification can block subsequent operations relying on it; it does not automatically confiscate tokens, erase valid claims or cancel earned compensation. Freezes, deductions, recovery and dispute handling each require their own basis and authority. Correlation risks from public-chain holdings and fee records should be included in privacy testing.</w:t>
      </w:r>
    </w:p>
    <w:p>
      <w:pPr>
        <w:pStyle w:val="Heading1"/>
        <w:widowControl/>
      </w:pPr>
      <w:r>
        <w:rPr>
          <w:rFonts w:ascii="Calibri" w:hAnsi="Calibri" w:eastAsia="Songti SC"/>
          <w:color w:val="000000"/>
        </w:rPr>
        <w:t>12 Lifecycle State Safety and Account Recovery</w:t>
      </w:r>
    </w:p>
    <w:p>
      <w:pPr>
        <w:widowControl/>
      </w:pPr>
      <w:r>
        <w:rPr>
          <w:rFonts w:ascii="Calibri" w:hAnsi="Calibri" w:eastAsia="Songti SC"/>
          <w:color w:val="000000"/>
        </w:rPr>
        <w:t>The object lifecycle uses DRAFT, ACTIVE, SUSPENDED, REVOKED and RETIRED. SUSPENDED may return to an active state under the rules. REVOKED and RETIRED do not reactivate the original version; reestablishing a relationship requires a new version or object while preserving history. When the credential layer maps to a Bitstring Status List, revocation is irreversible and suspension is reversible; renewed qualifications require credential reissuance under the issuer's rules. Minting, transferring or burning an NFT is a token event and does not automatically constitute credential issuance, contract effectiveness or extinguishment of rights. [S3]</w:t>
      </w:r>
    </w:p>
    <w:p>
      <w:pPr>
        <w:widowControl/>
      </w:pPr>
      <w:r>
        <w:rPr>
          <w:rFonts w:ascii="Calibri" w:hAnsi="Calibri" w:eastAsia="Songti SC"/>
          <w:color w:val="000000"/>
        </w:rPr>
        <w:t>Verification and execution occur at different times. Before execution, the executor must recheck the receipt's purpose, validity period, nonce, object version, current permissions and required status freshness, preventing erroneous authorization where revocation occurs after verification but goes unchecked before execution. On the same chain, an atomic operation can check critical versions and check and consume the nonce. Dependencies on off-chain state require a stated maximum delay and pause conditions; the time window cannot be described as entirely eliminated.</w:t>
      </w:r>
    </w:p>
    <w:p>
      <w:pPr>
        <w:widowControl/>
      </w:pPr>
      <w:r>
        <w:rPr>
          <w:rFonts w:ascii="Calibri" w:hAnsi="Calibri" w:eastAsia="Songti SC"/>
          <w:color w:val="000000"/>
        </w:rPr>
        <w:t>Account recovery should combine mechanisms such as multiple factors, approval by several parties, delayed effectiveness, notifications and dispute freezes. Recovering control keys does not automatically restore revoked qualifications, transfer personal identity or transfer another person's assets. Separate version relationships are created before and after recovery so that verifiers can identify key rotation, controller changes and any need to reissue credentials. Procedures should allow withdrawal or freezing in response to misconduct by an authorized recovery party. For ERC-1271 contract accounts, records must also identify the historical signature-verification block, account implementation and permission version. Current signature-verification success or failure alone cannot reconstruct past validity. [S8]</w:t>
      </w:r>
    </w:p>
    <w:p>
      <w:pPr>
        <w:widowControl/>
      </w:pPr>
      <w:r>
        <w:rPr>
          <w:rFonts w:ascii="Calibri" w:hAnsi="Calibri" w:eastAsia="Songti SC"/>
          <w:color w:val="000000"/>
        </w:rPr>
        <w:t>Chain reorganizations, duplicate cross-chain messages and service retries require unique event keys, a nonce, prior-state conditions, idempotent handling and finality confirmation. Cross-chain and off-chain operations use explicit pending-confirmation states, timeouts and compensation procedures. Even if all components are eventually consistent, unconditional atomic settlement across multiple independent networks and banks cannot be claimed. Chain-event records distinguish submission, inclusion in a block, satisfaction of configured finality conditions and removal by reorganization; blockHash and a confirmation policy fix the snapshot. Critical authorizations do not rely on events that have not met finality conditions, and pending operations affected by a reorganization are reconciled again.</w:t>
      </w:r>
    </w:p>
    <w:p>
      <w:pPr>
        <w:widowControl/>
      </w:pPr>
      <w:r>
        <w:rPr>
          <w:rFonts w:ascii="Calibri" w:hAnsi="Calibri" w:eastAsia="Songti SC"/>
          <w:color w:val="000000"/>
        </w:rPr>
        <w:t>A single business process records object state, rights-registration state, token-transfer state and funds state separately. Transfer submission, on-chain confirmation, an update to a statutory or contractual register and receipt of cash are different events. Court orders, key recovery or registration corrections append records through authorized processes rather than delete the original history. Cross-chain representations maintain a unified economic supply through locking or burning, minting and replay protection.</w:t>
      </w:r>
    </w:p>
    <w:p>
      <w:pPr>
        <w:pStyle w:val="Heading1"/>
        <w:widowControl/>
      </w:pPr>
      <w:r>
        <w:rPr>
          <w:rFonts w:ascii="Calibri" w:hAnsi="Calibri" w:eastAsia="Songti SC"/>
          <w:color w:val="000000"/>
        </w:rPr>
        <w:t>13 Verification Networks and Collusion Resistance</w:t>
      </w:r>
    </w:p>
    <w:p>
      <w:pPr>
        <w:widowControl/>
      </w:pPr>
      <w:r>
        <w:rPr>
          <w:rFonts w:ascii="Calibri" w:hAnsi="Calibri" w:eastAsia="Songti SC"/>
          <w:color w:val="000000"/>
        </w:rPr>
        <w:t>The verification network is open through replaceable specifications and implementations. Applications may verify for themselves or select recognized independent verifiers. Node registration establishes only that a node has satisfied the registration process; professional capability, accountability and independence still require explicit qualifications and oversight. The protocol should disclose major dependencies, service availability and concentration rather than presenting multiple nodes under common control as decentralization.</w:t>
      </w:r>
    </w:p>
    <w:p>
      <w:pPr>
        <w:widowControl/>
      </w:pPr>
      <w:r>
        <w:rPr>
          <w:rFonts w:ascii="Calibri" w:hAnsi="Calibri" w:eastAsia="Songti SC"/>
          <w:color w:val="000000"/>
        </w:rPr>
        <w:t>Verification by multiple parties improves reliability only when its threat-model assumptions hold. Critical facts may require different controlling parties, different observation paths and separation of roles. Random assignment, cross-review, conflict disclosures and signed records provide supporting controls. Reaching a signature threshold does not demonstrate economic or organizational independence, nor does it rule out contamination of a shared input.</w:t>
      </w:r>
    </w:p>
    <w:p>
      <w:pPr>
        <w:widowControl/>
      </w:pPr>
      <w:r>
        <w:rPr>
          <w:rFonts w:ascii="Calibri" w:hAnsi="Calibri" w:eastAsia="Songti SC"/>
          <w:color w:val="000000"/>
        </w:rPr>
        <w:t>Staking, challenge bonds or insurance can create economic constraints for certain adjudicable violations, but capital cannot purchase truth. Slashing conditions should be explicit, verifiable and open to appeal; subjective disputes that cannot be objectively determined should not trigger automatic penalties. Verification of public facts, restricted professional judgments and legal adjudication require different accountability arrangements. No universal vote can replace every professional and judicial process.</w:t>
      </w:r>
    </w:p>
    <w:p>
      <w:pPr>
        <w:widowControl/>
      </w:pPr>
      <w:r>
        <w:rPr>
          <w:rFonts w:ascii="Calibri" w:hAnsi="Calibri" w:eastAsia="Songti SC"/>
          <w:color w:val="000000"/>
        </w:rPr>
        <w:t>The evidence graph can identify known common control and circular dependencies, but cannot guarantee discovery of hidden collusion. Evaluation must cover malicious issuers, bribed verifiers, compromised keys, colluding participants and honest but malfunctioning nodes, reporting false acceptance, false rejection, processing latency and the cost of human intervention.</w:t>
      </w:r>
    </w:p>
    <w:p>
      <w:pPr>
        <w:widowControl/>
      </w:pPr>
      <w:r>
        <w:rPr>
          <w:rFonts w:ascii="Calibri" w:hAnsi="Calibri" w:eastAsia="Songti SC"/>
          <w:color w:val="000000"/>
        </w:rPr>
        <w:t>$RWAIX performance bonds constrain defined node responsibilities; a larger stake does not make evidence more truthful. Verifier selection should combine independence, task capability, sampling and conflict checks, none of which can be replaced by bond size. Service rewards should depend on deduplicated eligible contributions and approved budgets, with tests for Sybil accounts, affiliated-party collusion and reward capture. Unearned allocations do not create automatic income rights.</w:t>
      </w:r>
    </w:p>
    <w:p>
      <w:pPr>
        <w:pStyle w:val="Heading1"/>
        <w:widowControl/>
      </w:pPr>
      <w:r>
        <w:rPr>
          <w:rFonts w:ascii="Calibri" w:hAnsi="Calibri" w:eastAsia="Songti SC"/>
          <w:color w:val="000000"/>
        </w:rPr>
        <w:t>14 Constrained Agents and Executable Collaboration</w:t>
      </w:r>
    </w:p>
    <w:p>
      <w:pPr>
        <w:widowControl/>
      </w:pPr>
      <w:r>
        <w:rPr>
          <w:rFonts w:ascii="Calibri" w:hAnsi="Calibri" w:eastAsia="Songti SC"/>
          <w:color w:val="000000"/>
        </w:rPr>
        <w:t>An Agent is a software participant with delegated authority. Every request should identify its principal, target object, authorized purpose, permitted tools, monetary or resource limits, validity period and audit reference. Natural language generated by a model does not directly confer transaction authority. A deterministic executor validates structured intents and, where necessary, requires review or approval by the responsible party. Subdelegation may only narrow actions, duration and limits; it must not expand authority, renew itself or reset the principal's shared budget. The delegation chain and its revocations are also execution dependencies.</w:t>
      </w:r>
    </w:p>
    <w:p>
      <w:pPr>
        <w:widowControl/>
      </w:pPr>
      <w:r>
        <w:rPr>
          <w:rFonts w:ascii="Calibri" w:hAnsi="Calibri" w:eastAsia="Songti SC"/>
          <w:color w:val="000000"/>
        </w:rPr>
        <w:t>Budgets and permissions cannot be checked only per request. Concurrent Agents, retries and split transactions must share a limit ledger that can be updated atomically, constraining cumulative amounts, rates and resource use. External documents, webpages, credential attachments and tool outputs are untrusted inputs; instructions within them cannot increase an Agent's authority or change a payee. Within the same authorization scope, asset and measurement period, reservations include the agreed fee upper bound. Consumed allowance plus pending reservations must not exceed the total allowance. Durable records link reservations, execution confirmations and releases to the same operation.</w:t>
      </w:r>
    </w:p>
    <w:p>
      <w:pPr>
        <w:widowControl/>
      </w:pPr>
      <w:r>
        <w:rPr>
          <w:rFonts w:ascii="Calibri" w:hAnsi="Calibri" w:eastAsia="Songti SC"/>
          <w:color w:val="000000"/>
        </w:rPr>
        <w:t>Collaborative commitments may use business states such as PROPOSED, ACCEPTED, IN_PROGRESS, EVIDENCE_SUBMITTED, FULFILLED, DISPUTED and CANCELLED, with transition conditions defined by a profile accepted by the parties. An ALLOW receipt provides evidence only that the rules have been satisfied; the actual executing party must still possess the necessary authority. Acceptance, recognition of a payable, payment approval and confirmation of receipt of funds are recorded separately.</w:t>
      </w:r>
    </w:p>
    <w:p>
      <w:pPr>
        <w:widowControl/>
      </w:pPr>
      <w:r>
        <w:rPr>
          <w:rFonts w:ascii="Calibri" w:hAnsi="Calibri" w:eastAsia="Songti SC"/>
          <w:color w:val="000000"/>
        </w:rPr>
        <w:t>Operations involving funds, digital objects or devices use their respective execution adapters, which enforce checks on prior state, nonce, beneficiary, limits, version and expiry. Results reference the original intent and receipt. Failures, rollbacks and reversals append records rather than overwrite history. Applications need not involve payment, and the protocol does not require all trusted collaboration to be financialized. A timed-out external request enters OUTCOME_UNKNOWN and awaits status queries and reconciliation, retaining its reserved allowance while its status is queried under the original operation identifier. The corresponding allowance is released only after non-execution is confirmed or verifiable compensation is completed. A timeout must not be treated as non-execution followed by direct submission of a new request. Before execution, persist the intent and a pending-send record; retries or queries use the same idempotency identifier. If the downstream system does not support idempotency and status queries, apply limits, manual reconciliation or a more conservative execution method rather than promise end-to-end exactly-once execution. The same idempotency identifier must bind to the same request digest; reuse of a key with different content is rejected.</w:t>
      </w:r>
    </w:p>
    <w:p>
      <w:pPr>
        <w:widowControl/>
      </w:pPr>
      <w:r>
        <w:rPr>
          <w:rFonts w:ascii="Calibri" w:hAnsi="Calibri" w:eastAsia="Songti SC"/>
          <w:color w:val="000000"/>
        </w:rPr>
        <w:t>Agent delegation separately limits permitted payment assets, maximum debits, quote validity, payees and whether any interaction with DCNFT is allowed. Ordinary service calls do not implicitly authorize the purchase, transfer or pledging of investment interests. The executor checks consumed allowance plus pending reservations for the same asset and budget period, and separately enforces any approved base-currency exposure limit. An expired quote or abnormal price source requires renewed authorization. An unknown payment outcome retains the reservation in the original asset; switching to another token must not trigger resubmission.</w:t>
      </w:r>
    </w:p>
    <w:p>
      <w:pPr>
        <w:pStyle w:val="Caption"/>
        <w:widowControl/>
      </w:pPr>
      <w:r>
        <w:rPr>
          <w:rFonts w:ascii="Calibri" w:hAnsi="Calibri" w:eastAsia="Songti SC"/>
          <w:color w:val="000000"/>
        </w:rPr>
        <w:t>Figure 3. Verification and execution boundaries</w:t>
      </w:r>
    </w:p>
    <w:p>
      <w:pPr>
        <w:widowControl/>
        <w:spacing w:after="160"/>
      </w:pPr>
      <w:r>
        <w:drawing>
          <wp:inline xmlns:a="http://schemas.openxmlformats.org/drawingml/2006/main" xmlns:pic="http://schemas.openxmlformats.org/drawingml/2006/picture">
            <wp:extent cx="6400800" cy="5913120"/>
            <wp:docPr id="3" name="Picture 3" descr="Pinned inputs feed PolicyDecision. DENY and INDETERMINATE cannot execute. An ALLOW receipt still requires current-status, authority and budget checks. Execution reserves atomically; a confirmed effect consumes the reservation. An unknown outcome retains the reservation for reconciliation; only a confirmed absence of effect permits release."/>
            <wp:cNvGraphicFramePr>
              <a:graphicFrameLocks noChangeAspect="1"/>
            </wp:cNvGraphicFramePr>
            <a:graphic>
              <a:graphicData uri="http://schemas.openxmlformats.org/drawingml/2006/picture">
                <pic:pic>
                  <pic:nvPicPr>
                    <pic:cNvPr id="0" name="verification_execution_en.png"/>
                    <pic:cNvPicPr/>
                  </pic:nvPicPr>
                  <pic:blipFill>
                    <a:blip r:embed="rId11"/>
                    <a:stretch>
                      <a:fillRect/>
                    </a:stretch>
                  </pic:blipFill>
                  <pic:spPr>
                    <a:xfrm>
                      <a:off x="0" y="0"/>
                      <a:ext cx="6400800" cy="5913120"/>
                    </a:xfrm>
                    <a:prstGeom prst="rect"/>
                  </pic:spPr>
                </pic:pic>
              </a:graphicData>
            </a:graphic>
          </wp:inline>
        </w:drawing>
      </w:r>
    </w:p>
    <w:p>
      <w:pPr>
        <w:pStyle w:val="Heading1"/>
        <w:widowControl/>
      </w:pPr>
      <w:r>
        <w:rPr>
          <w:rFonts w:ascii="Calibri" w:hAnsi="Calibri" w:eastAsia="Songti SC"/>
          <w:color w:val="000000"/>
        </w:rPr>
        <w:t>15 Open Interfaces and Interoperability Boundaries</w:t>
      </w:r>
    </w:p>
    <w:p>
      <w:pPr>
        <w:widowControl/>
      </w:pPr>
      <w:r>
        <w:rPr>
          <w:rFonts w:ascii="Calibri" w:hAnsi="Calibri" w:eastAsia="Songti SC"/>
          <w:color w:val="000000"/>
        </w:rPr>
        <w:t>Protocol interfaces should cover registerObject, publishVersion, resolveBinding, submitEvidence, evaluatePolicy, verifyReceipt, checkStatus, prepareIntent and executeIntent. These names describe responsibilities in the reference implementation, not deployed APIs. Each interface fixes its input schema, error codes, signature domain, idempotency keys and time semantics by version, and provides the test vectors needed for independent implementation.</w:t>
      </w:r>
    </w:p>
    <w:p>
      <w:pPr>
        <w:widowControl/>
      </w:pPr>
      <w:r>
        <w:rPr>
          <w:rFonts w:ascii="Calibri" w:hAnsi="Calibri" w:eastAsia="Songti SC"/>
          <w:color w:val="000000"/>
        </w:rPr>
        <w:t>ERC-721 and ERC-1155 are candidate interfaces for the NFT layer, with each profile fixing object types, quantities and transfer semantics. The locked state in ERC-5192 restricts transfer but does not guarantee a permanent lock. ERC-5484 requires consent before issuance, fixed burn authorization and no metadata modification after issuance, so a configuration with dynamic metadata cannot claim conformance with that constraint. DID methods, VC securing mechanisms, status lists and account implementations must likewise specify their versions, extensions and testing scope. [S1–S9]</w:t>
      </w:r>
    </w:p>
    <w:p>
      <w:pPr>
        <w:widowControl/>
      </w:pPr>
      <w:r>
        <w:rPr>
          <w:rFonts w:ascii="Calibri" w:hAnsi="Calibri" w:eastAsia="Songti SC"/>
          <w:color w:val="000000"/>
        </w:rPr>
        <w:t>Evidence-package content commitments use fixed canonicalization rules and hash algorithms. JSON may use RFC 8785 JCS, with its numeric range, character semantics and array semantics made explicit; schemas prescribe string representations for high-precision amounts and long integers. VC and other proof suites continue to use their prescribed transformations. JCS must not be substituted arbitrarily for the signature-verification procedures of every standard. Business signatures also bind the protocol version, chain or domain, object, action, audience, nonce and deadline; EIP-712 itself provides no replay protection. [S12–S13]</w:t>
      </w:r>
    </w:p>
    <w:p>
      <w:pPr>
        <w:widowControl/>
      </w:pPr>
      <w:r>
        <w:rPr>
          <w:rFonts w:ascii="Calibri" w:hAnsi="Calibri" w:eastAsia="Songti SC"/>
          <w:color w:val="000000"/>
        </w:rPr>
        <w:t>Cross-chain references preserve the original network, contract, object and basis for final confirmation. Mapped NFTs, bridge messages and mirrored state do not independently create a second native entitlement. The receiving side specifies bridge verifiers, finality waits, expiry policies and pause procedures. Interoperability across industries means sharing object and evidence syntax while preserving each application's distinct requirements for facts and authority. When converting between VC, NFT or attestation representations, the adapter outputs the original representation, conversion rules and a semantic-loss report. Inputs whose essential semantics cannot be preserved are rejected, rather than masking provenance through reissuance.</w:t>
      </w:r>
    </w:p>
    <w:p>
      <w:pPr>
        <w:widowControl/>
      </w:pPr>
      <w:r>
        <w:rPr>
          <w:rFonts w:ascii="Calibri" w:hAnsi="Calibri" w:eastAsia="Songti SC"/>
          <w:color w:val="000000"/>
        </w:rPr>
        <w:t>Dual-token interoperability must preserve object category, issuer, series rights, transfer eligibility, quote and payment assets, reward conditions and governance scope. Bridging $RWAIX or mapping DCNFT requires disclosure of custody and final-registration dependencies. Conversion is rejected if the target system cannot express these conditions. Wrapping a token or moving it to another network neither expands the original rights nor removes existing restrictions.</w:t>
      </w:r>
    </w:p>
    <w:p>
      <w:pPr>
        <w:widowControl/>
      </w:pPr>
      <w:r>
        <w:rPr>
          <w:rFonts w:ascii="Calibri" w:hAnsi="Calibri" w:eastAsia="Songti SC"/>
          <w:color w:val="000000"/>
        </w:rPr>
        <w:t>When external business documents are integrated, adapters should publish their field and semantic mappings, versions and test results. OASIS UBL provides models for business documents such as orders and invoices and may serve as a mapping foundation for a specific profile. Adopting some of its fields does not establish conformance to the entire standard. Differences between systems in units, taxes and fees, charges, acceptance and legal effect require explicit handling; matching field names alone do not justify automatic mutual recognition. [S24]</w:t>
      </w:r>
    </w:p>
    <w:p>
      <w:pPr>
        <w:pStyle w:val="Heading1"/>
        <w:widowControl/>
      </w:pPr>
      <w:r>
        <w:rPr>
          <w:rFonts w:ascii="Calibri" w:hAnsi="Calibri" w:eastAsia="Songti SC"/>
          <w:color w:val="000000"/>
        </w:rPr>
        <w:t>16 Security Model and Governance Constraints</w:t>
      </w:r>
    </w:p>
    <w:p>
      <w:pPr>
        <w:widowControl/>
      </w:pPr>
      <w:r>
        <w:rPr>
          <w:rFonts w:ascii="Calibri" w:hAnsi="Calibri" w:eastAsia="Songti SC"/>
          <w:color w:val="000000"/>
        </w:rPr>
        <w:t>The protocol assumes that attackers can create large numbers of accounts, submit false materials, replay messages, control some issuers or verifiers, steal keys, corrupt external data and manipulate Agents. Correct cryptographic primitives do not establish end-to-end security; wallets, recovery services, frontends, indexers, administrators and the software supply chain are all within scope. The reference implementation requires permission separation, key rotation, rate limits, monitoring and incident response.</w:t>
      </w:r>
    </w:p>
    <w:p>
      <w:pPr>
        <w:widowControl/>
      </w:pPr>
      <w:r>
        <w:rPr>
          <w:rFonts w:ascii="Calibri" w:hAnsi="Calibri" w:eastAsia="Songti SC"/>
          <w:color w:val="000000"/>
        </w:rPr>
        <w:t>Protocol upgrades should include public version proposals, compatibility descriptions, test results, delayed effectiveness and constrained execution. Earlier receipts are checked under their original versions; new policies should not rewrite historical conclusions. Emergency pauses must specify scope, triggering conditions, maximum duration and recovery procedures. They must not become an interface for administrators to take indefinite control of objects or funds.</w:t>
      </w:r>
    </w:p>
    <w:p>
      <w:pPr>
        <w:widowControl/>
      </w:pPr>
      <w:r>
        <w:rPr>
          <w:rFonts w:ascii="Calibri" w:hAnsi="Calibri" w:eastAsia="Songti SC"/>
          <w:color w:val="000000"/>
        </w:rPr>
        <w:t>Governance maintains specifications, permission scopes and service rules; it has no authority to rewrite facts arbitrarily or retrospectively alter personal qualifications. Disputed claims record the claimant, grounds, affected scope, adjudication roles and outcome. Matters requiring professional judgment outside the protocol are referred to the appropriate procedures. A governance vote does not automatically amend existing contracts, intellectual-property rights or investor rights.</w:t>
      </w:r>
    </w:p>
    <w:p>
      <w:pPr>
        <w:widowControl/>
      </w:pPr>
      <w:r>
        <w:rPr>
          <w:rFonts w:ascii="Calibri" w:hAnsi="Calibri" w:eastAsia="Songti SC"/>
          <w:color w:val="000000"/>
        </w:rPr>
        <w:t>Implementations should disclose critical points of concentration and trust assumptions, such as default issuer registries, status services, bridges and recovery committees. Security metrics must include outcomes when these external dependencies fail, rather than measuring only the execution success rate of on-chain contracts.</w:t>
      </w:r>
    </w:p>
    <w:p>
      <w:pPr>
        <w:widowControl/>
      </w:pPr>
      <w:r>
        <w:rPr>
          <w:rFonts w:ascii="Calibri" w:hAnsi="Calibri" w:eastAsia="Songti SC"/>
          <w:color w:val="000000"/>
        </w:rPr>
        <w:t>Dual-token modules introduce threats including price-source manipulation, reward farming through artificial activity, declining bond value, administrative minting, duplicate bridge supply and governance capture. Minting, transfer controls, fee spending, reward budgets, bond deductions and governance execution use distinct permissions. Upgrades must verify that these boundaries continue to hold. Emergency-pause scope and recovery conditions are explicit, protecting accrued rights, pending payments and appeal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72"/>
        <w:gridCol w:w="4176"/>
        <w:gridCol w:w="4032"/>
      </w:tblGrid>
      <w:tr>
        <w:trPr>
          <w:cantSplit/>
          <w:tblHeader/>
        </w:trPr>
        <w:tc>
          <w:tcPr>
            <w:tcW w:type="dxa" w:w="1872"/>
            <w:vAlign w:val="center"/>
            <w:shd w:fill="E7EDF2"/>
          </w:tcPr>
          <w:p>
            <w:pPr>
              <w:spacing w:after="0" w:before="0" w:line="259" w:lineRule="auto"/>
            </w:pPr>
            <w:r>
              <w:rPr>
                <w:rFonts w:ascii="Calibri" w:hAnsi="Calibri" w:eastAsia="Songti SC"/>
                <w:b/>
                <w:color w:val="000000"/>
                <w:sz w:val="20"/>
              </w:rPr>
              <w:t>Attack or Failure</w:t>
            </w:r>
          </w:p>
        </w:tc>
        <w:tc>
          <w:tcPr>
            <w:tcW w:type="dxa" w:w="4176"/>
            <w:vAlign w:val="center"/>
            <w:shd w:fill="E7EDF2"/>
          </w:tcPr>
          <w:p>
            <w:pPr>
              <w:spacing w:after="0" w:before="0" w:line="259" w:lineRule="auto"/>
            </w:pPr>
            <w:r>
              <w:rPr>
                <w:rFonts w:ascii="Calibri" w:hAnsi="Calibri" w:eastAsia="Songti SC"/>
                <w:b/>
                <w:color w:val="000000"/>
                <w:sz w:val="20"/>
              </w:rPr>
              <w:t>Required Controls</w:t>
            </w:r>
          </w:p>
        </w:tc>
        <w:tc>
          <w:tcPr>
            <w:tcW w:type="dxa" w:w="4032"/>
            <w:vAlign w:val="center"/>
            <w:shd w:fill="E7EDF2"/>
          </w:tcPr>
          <w:p>
            <w:pPr>
              <w:spacing w:after="0" w:before="0" w:line="259" w:lineRule="auto"/>
            </w:pPr>
            <w:r>
              <w:rPr>
                <w:rFonts w:ascii="Calibri" w:hAnsi="Calibri" w:eastAsia="Songti SC"/>
                <w:b/>
                <w:color w:val="000000"/>
                <w:sz w:val="20"/>
              </w:rPr>
              <w:t>Remaining Boundary</w:t>
            </w:r>
          </w:p>
        </w:tc>
      </w:tr>
      <w:tr>
        <w:trPr>
          <w:cantSplit/>
        </w:trPr>
        <w:tc>
          <w:tcPr>
            <w:tcW w:type="dxa" w:w="1872"/>
            <w:vAlign w:val="center"/>
            <w:shd w:fill="FFFFFF"/>
          </w:tcPr>
          <w:p>
            <w:pPr>
              <w:spacing w:after="0" w:before="0" w:line="259" w:lineRule="auto"/>
            </w:pPr>
            <w:r>
              <w:rPr>
                <w:rFonts w:ascii="Calibri" w:hAnsi="Calibri" w:eastAsia="Songti SC"/>
                <w:color w:val="000000"/>
                <w:sz w:val="20"/>
              </w:rPr>
              <w:t>False claims and corrupted physical inputs</w:t>
            </w:r>
          </w:p>
        </w:tc>
        <w:tc>
          <w:tcPr>
            <w:tcW w:type="dxa" w:w="4176"/>
            <w:vAlign w:val="center"/>
            <w:shd w:fill="FFFFFF"/>
          </w:tcPr>
          <w:p>
            <w:pPr>
              <w:spacing w:after="0" w:before="0" w:line="259" w:lineRule="auto"/>
            </w:pPr>
            <w:r>
              <w:rPr>
                <w:rFonts w:ascii="Calibri" w:hAnsi="Calibri" w:eastAsia="Songti SC"/>
                <w:color w:val="000000"/>
                <w:sz w:val="20"/>
              </w:rPr>
              <w:t>Issuer authority, provenance, independent observations and dispute paths</w:t>
            </w:r>
          </w:p>
        </w:tc>
        <w:tc>
          <w:tcPr>
            <w:tcW w:type="dxa" w:w="4032"/>
            <w:vAlign w:val="center"/>
            <w:shd w:fill="FFFFFF"/>
          </w:tcPr>
          <w:p>
            <w:pPr>
              <w:spacing w:after="0" w:before="0" w:line="259" w:lineRule="auto"/>
            </w:pPr>
            <w:r>
              <w:rPr>
                <w:rFonts w:ascii="Calibri" w:hAnsi="Calibri" w:eastAsia="Songti SC"/>
                <w:color w:val="000000"/>
                <w:sz w:val="20"/>
              </w:rPr>
              <w:t>Signatures or on-chain recording alone cannot prove physical facts</w:t>
            </w:r>
          </w:p>
        </w:tc>
      </w:tr>
      <w:tr>
        <w:trPr>
          <w:cantSplit/>
        </w:trPr>
        <w:tc>
          <w:tcPr>
            <w:tcW w:type="dxa" w:w="1872"/>
            <w:vAlign w:val="center"/>
            <w:shd w:fill="FFFFFF"/>
          </w:tcPr>
          <w:p>
            <w:pPr>
              <w:spacing w:after="0" w:before="0" w:line="259" w:lineRule="auto"/>
            </w:pPr>
            <w:r>
              <w:rPr>
                <w:rFonts w:ascii="Calibri" w:hAnsi="Calibri" w:eastAsia="Songti SC"/>
                <w:color w:val="000000"/>
                <w:sz w:val="20"/>
              </w:rPr>
              <w:t>Sybil identities and circular endorsements</w:t>
            </w:r>
          </w:p>
        </w:tc>
        <w:tc>
          <w:tcPr>
            <w:tcW w:type="dxa" w:w="4176"/>
            <w:vAlign w:val="center"/>
            <w:shd w:fill="FFFFFF"/>
          </w:tcPr>
          <w:p>
            <w:pPr>
              <w:spacing w:after="0" w:before="0" w:line="259" w:lineRule="auto"/>
            </w:pPr>
            <w:r>
              <w:rPr>
                <w:rFonts w:ascii="Calibri" w:hAnsi="Calibri" w:eastAsia="Songti SC"/>
                <w:color w:val="000000"/>
                <w:sz w:val="20"/>
              </w:rPr>
              <w:t>Rate limits, context-appropriate identity costs, dependency graphs and common-control detection</w:t>
            </w:r>
          </w:p>
        </w:tc>
        <w:tc>
          <w:tcPr>
            <w:tcW w:type="dxa" w:w="4032"/>
            <w:vAlign w:val="center"/>
            <w:shd w:fill="FFFFFF"/>
          </w:tcPr>
          <w:p>
            <w:pPr>
              <w:spacing w:after="0" w:before="0" w:line="259" w:lineRule="auto"/>
            </w:pPr>
            <w:r>
              <w:rPr>
                <w:rFonts w:ascii="Calibri" w:hAnsi="Calibri" w:eastAsia="Songti SC"/>
                <w:color w:val="000000"/>
                <w:sz w:val="20"/>
              </w:rPr>
              <w:t>Hidden relationships and new identities cannot be ruled out completely</w:t>
            </w:r>
          </w:p>
        </w:tc>
      </w:tr>
      <w:tr>
        <w:trPr>
          <w:cantSplit/>
        </w:trPr>
        <w:tc>
          <w:tcPr>
            <w:tcW w:type="dxa" w:w="1872"/>
            <w:vAlign w:val="center"/>
            <w:shd w:fill="FFFFFF"/>
          </w:tcPr>
          <w:p>
            <w:pPr>
              <w:spacing w:after="0" w:before="0" w:line="259" w:lineRule="auto"/>
            </w:pPr>
            <w:r>
              <w:rPr>
                <w:rFonts w:ascii="Calibri" w:hAnsi="Calibri" w:eastAsia="Songti SC"/>
                <w:color w:val="000000"/>
                <w:sz w:val="20"/>
              </w:rPr>
              <w:t>Revocation delays and cross-domain replay</w:t>
            </w:r>
          </w:p>
        </w:tc>
        <w:tc>
          <w:tcPr>
            <w:tcW w:type="dxa" w:w="4176"/>
            <w:vAlign w:val="center"/>
            <w:shd w:fill="FFFFFF"/>
          </w:tcPr>
          <w:p>
            <w:pPr>
              <w:spacing w:after="0" w:before="0" w:line="259" w:lineRule="auto"/>
            </w:pPr>
            <w:r>
              <w:rPr>
                <w:rFonts w:ascii="Calibri" w:hAnsi="Calibri" w:eastAsia="Songti SC"/>
                <w:color w:val="000000"/>
                <w:sz w:val="20"/>
              </w:rPr>
              <w:t>Status freshness, context-bound signatures, nonce and checks before execution</w:t>
            </w:r>
          </w:p>
        </w:tc>
        <w:tc>
          <w:tcPr>
            <w:tcW w:type="dxa" w:w="4032"/>
            <w:vAlign w:val="center"/>
            <w:shd w:fill="FFFFFF"/>
          </w:tcPr>
          <w:p>
            <w:pPr>
              <w:spacing w:after="0" w:before="0" w:line="259" w:lineRule="auto"/>
            </w:pPr>
            <w:r>
              <w:rPr>
                <w:rFonts w:ascii="Calibri" w:hAnsi="Calibri" w:eastAsia="Songti SC"/>
                <w:color w:val="000000"/>
                <w:sz w:val="20"/>
              </w:rPr>
              <w:t>Off-chain updates have latency; high-risk operations need a pause policy</w:t>
            </w:r>
          </w:p>
        </w:tc>
      </w:tr>
      <w:tr>
        <w:trPr>
          <w:cantSplit/>
        </w:trPr>
        <w:tc>
          <w:tcPr>
            <w:tcW w:type="dxa" w:w="1872"/>
            <w:vAlign w:val="center"/>
            <w:shd w:fill="FFFFFF"/>
          </w:tcPr>
          <w:p>
            <w:pPr>
              <w:spacing w:after="0" w:before="0" w:line="259" w:lineRule="auto"/>
            </w:pPr>
            <w:r>
              <w:rPr>
                <w:rFonts w:ascii="Calibri" w:hAnsi="Calibri" w:eastAsia="Songti SC"/>
                <w:color w:val="000000"/>
                <w:sz w:val="20"/>
              </w:rPr>
              <w:t>Key theft and recovery abuse</w:t>
            </w:r>
          </w:p>
        </w:tc>
        <w:tc>
          <w:tcPr>
            <w:tcW w:type="dxa" w:w="4176"/>
            <w:vAlign w:val="center"/>
            <w:shd w:fill="FFFFFF"/>
          </w:tcPr>
          <w:p>
            <w:pPr>
              <w:spacing w:after="0" w:before="0" w:line="259" w:lineRule="auto"/>
            </w:pPr>
            <w:r>
              <w:rPr>
                <w:rFonts w:ascii="Calibri" w:hAnsi="Calibri" w:eastAsia="Songti SC"/>
                <w:color w:val="000000"/>
                <w:sz w:val="20"/>
              </w:rPr>
              <w:t>Separation of permissions, delayed recovery, multiple approvals and freezes</w:t>
            </w:r>
          </w:p>
        </w:tc>
        <w:tc>
          <w:tcPr>
            <w:tcW w:type="dxa" w:w="4032"/>
            <w:vAlign w:val="center"/>
            <w:shd w:fill="FFFFFF"/>
          </w:tcPr>
          <w:p>
            <w:pPr>
              <w:spacing w:after="0" w:before="0" w:line="259" w:lineRule="auto"/>
            </w:pPr>
            <w:r>
              <w:rPr>
                <w:rFonts w:ascii="Calibri" w:hAnsi="Calibri" w:eastAsia="Songti SC"/>
                <w:color w:val="000000"/>
                <w:sz w:val="20"/>
              </w:rPr>
              <w:t>Recovery parties and thresholds themselves require explicit trust assumptions</w:t>
            </w:r>
          </w:p>
        </w:tc>
      </w:tr>
      <w:tr>
        <w:trPr>
          <w:cantSplit/>
        </w:trPr>
        <w:tc>
          <w:tcPr>
            <w:tcW w:type="dxa" w:w="1872"/>
            <w:vAlign w:val="center"/>
            <w:shd w:fill="FFFFFF"/>
          </w:tcPr>
          <w:p>
            <w:pPr>
              <w:spacing w:after="0" w:before="0" w:line="259" w:lineRule="auto"/>
            </w:pPr>
            <w:r>
              <w:rPr>
                <w:rFonts w:ascii="Calibri" w:hAnsi="Calibri" w:eastAsia="Songti SC"/>
                <w:color w:val="000000"/>
                <w:sz w:val="20"/>
              </w:rPr>
              <w:t>Privacy correlation and data leakage</w:t>
            </w:r>
          </w:p>
        </w:tc>
        <w:tc>
          <w:tcPr>
            <w:tcW w:type="dxa" w:w="4176"/>
            <w:vAlign w:val="center"/>
            <w:shd w:fill="FFFFFF"/>
          </w:tcPr>
          <w:p>
            <w:pPr>
              <w:spacing w:after="0" w:before="0" w:line="259" w:lineRule="auto"/>
            </w:pPr>
            <w:r>
              <w:rPr>
                <w:rFonts w:ascii="Calibri" w:hAnsi="Calibri" w:eastAsia="Songti SC"/>
                <w:color w:val="000000"/>
                <w:sz w:val="20"/>
              </w:rPr>
              <w:t>Minimal disclosure, purpose limits, separation of relationship identifiers and access audits</w:t>
            </w:r>
          </w:p>
        </w:tc>
        <w:tc>
          <w:tcPr>
            <w:tcW w:type="dxa" w:w="4032"/>
            <w:vAlign w:val="center"/>
            <w:shd w:fill="FFFFFF"/>
          </w:tcPr>
          <w:p>
            <w:pPr>
              <w:spacing w:after="0" w:before="0" w:line="259" w:lineRule="auto"/>
            </w:pPr>
            <w:r>
              <w:rPr>
                <w:rFonts w:ascii="Calibri" w:hAnsi="Calibri" w:eastAsia="Songti SC"/>
                <w:color w:val="000000"/>
                <w:sz w:val="20"/>
              </w:rPr>
              <w:t>Public transactions and metadata may still enable correlation</w:t>
            </w:r>
          </w:p>
        </w:tc>
      </w:tr>
      <w:tr>
        <w:trPr>
          <w:cantSplit/>
        </w:trPr>
        <w:tc>
          <w:tcPr>
            <w:tcW w:type="dxa" w:w="1872"/>
            <w:vAlign w:val="center"/>
            <w:shd w:fill="FFFFFF"/>
          </w:tcPr>
          <w:p>
            <w:pPr>
              <w:spacing w:after="0" w:before="0" w:line="259" w:lineRule="auto"/>
            </w:pPr>
            <w:r>
              <w:rPr>
                <w:rFonts w:ascii="Calibri" w:hAnsi="Calibri" w:eastAsia="Songti SC"/>
                <w:color w:val="000000"/>
                <w:sz w:val="20"/>
              </w:rPr>
              <w:t>Agent prompt injection and excess execution</w:t>
            </w:r>
          </w:p>
        </w:tc>
        <w:tc>
          <w:tcPr>
            <w:tcW w:type="dxa" w:w="4176"/>
            <w:vAlign w:val="center"/>
            <w:shd w:fill="FFFFFF"/>
          </w:tcPr>
          <w:p>
            <w:pPr>
              <w:spacing w:after="0" w:before="0" w:line="259" w:lineRule="auto"/>
            </w:pPr>
            <w:r>
              <w:rPr>
                <w:rFonts w:ascii="Calibri" w:hAnsi="Calibri" w:eastAsia="Songti SC"/>
                <w:color w:val="000000"/>
                <w:sz w:val="20"/>
              </w:rPr>
              <w:t>Deterministic executors, shared budgets, tool allowlists and approvals</w:t>
            </w:r>
          </w:p>
        </w:tc>
        <w:tc>
          <w:tcPr>
            <w:tcW w:type="dxa" w:w="4032"/>
            <w:vAlign w:val="center"/>
            <w:shd w:fill="FFFFFF"/>
          </w:tcPr>
          <w:p>
            <w:pPr>
              <w:spacing w:after="0" w:before="0" w:line="259" w:lineRule="auto"/>
            </w:pPr>
            <w:r>
              <w:rPr>
                <w:rFonts w:ascii="Calibri" w:hAnsi="Calibri" w:eastAsia="Songti SC"/>
                <w:color w:val="000000"/>
                <w:sz w:val="20"/>
              </w:rPr>
              <w:t>Model output quality cannot replace permission controls</w:t>
            </w:r>
          </w:p>
        </w:tc>
      </w:tr>
      <w:tr>
        <w:trPr>
          <w:cantSplit/>
        </w:trPr>
        <w:tc>
          <w:tcPr>
            <w:tcW w:type="dxa" w:w="1872"/>
            <w:vAlign w:val="center"/>
            <w:shd w:fill="FFFFFF"/>
          </w:tcPr>
          <w:p>
            <w:pPr>
              <w:spacing w:after="0" w:before="0" w:line="259" w:lineRule="auto"/>
            </w:pPr>
            <w:r>
              <w:rPr>
                <w:rFonts w:ascii="Calibri" w:hAnsi="Calibri" w:eastAsia="Songti SC"/>
                <w:color w:val="000000"/>
                <w:sz w:val="20"/>
              </w:rPr>
              <w:t>Compromised bridges or governance</w:t>
            </w:r>
          </w:p>
        </w:tc>
        <w:tc>
          <w:tcPr>
            <w:tcW w:type="dxa" w:w="4176"/>
            <w:vAlign w:val="center"/>
            <w:shd w:fill="FFFFFF"/>
          </w:tcPr>
          <w:p>
            <w:pPr>
              <w:spacing w:after="0" w:before="0" w:line="259" w:lineRule="auto"/>
            </w:pPr>
            <w:r>
              <w:rPr>
                <w:rFonts w:ascii="Calibri" w:hAnsi="Calibri" w:eastAsia="Songti SC"/>
                <w:color w:val="000000"/>
                <w:sz w:val="20"/>
              </w:rPr>
              <w:t>Scope limits, finality verification, delayed upgrades and emergency pauses</w:t>
            </w:r>
          </w:p>
        </w:tc>
        <w:tc>
          <w:tcPr>
            <w:tcW w:type="dxa" w:w="4032"/>
            <w:vAlign w:val="center"/>
            <w:shd w:fill="FFFFFF"/>
          </w:tcPr>
          <w:p>
            <w:pPr>
              <w:spacing w:after="0" w:before="0" w:line="259" w:lineRule="auto"/>
            </w:pPr>
            <w:r>
              <w:rPr>
                <w:rFonts w:ascii="Calibri" w:hAnsi="Calibri" w:eastAsia="Songti SC"/>
                <w:color w:val="000000"/>
                <w:sz w:val="20"/>
              </w:rPr>
              <w:t>Multiple chains do not automatically improve security and may enlarge the attack surface</w:t>
            </w:r>
          </w:p>
        </w:tc>
      </w:tr>
    </w:tbl>
    <w:p>
      <w:pPr>
        <w:widowControl/>
        <w:spacing w:after="20"/>
      </w:pPr>
    </w:p>
    <w:p>
      <w:pPr>
        <w:pStyle w:val="Heading1"/>
        <w:widowControl/>
      </w:pPr>
      <w:r>
        <w:rPr>
          <w:rFonts w:ascii="Calibri" w:hAnsi="Calibri" w:eastAsia="Songti SC"/>
          <w:color w:val="000000"/>
        </w:rPr>
        <w:t>17 The Company s NFT Business as the First Planned Application</w:t>
      </w:r>
    </w:p>
    <w:p>
      <w:pPr>
        <w:widowControl/>
      </w:pPr>
      <w:r>
        <w:rPr>
          <w:rFonts w:ascii="Calibri" w:hAnsi="Calibri" w:eastAsia="Songti SC"/>
          <w:color w:val="000000"/>
        </w:rPr>
        <w:t>The initial plan is to connect the company’s disclosed NFT business to the universal trust and transaction core. NFT Limited’s public materials dated October 6, 2026 describe NFT artwork listing, trading and related consulting. Its management discussion for the first half of 2026 identifies Metaverse HK as the operator of the existing NFT platform and describes commissions on NFT transactions. This business foundation does not mean that RWAIX has been integrated with the platform or that provenance, licence-verification or authorized-settlement modules operate in production. A pilot must first identify the platform operator, seller or licensor, customer, technology provider and receiving entity. Agent Link’s proposed technology role requires separate corporate authority and contracts. [S34–S35]</w:t>
      </w:r>
    </w:p>
    <w:p>
      <w:pPr>
        <w:widowControl/>
      </w:pPr>
      <w:r>
        <w:rPr>
          <w:rFonts w:ascii="Calibri" w:hAnsi="Calibri" w:eastAsia="Songti SC"/>
          <w:color w:val="000000"/>
        </w:rPr>
        <w:t>The proposed minimum workflow begins with one authorized NFT listing or trade order: check participant authority and work-provenance claims, fix the work and metadata versions, bind a mint record or existing token, define transfer and licence scope, sign order terms, submit delivery evidence, obtain acceptance from the authorized recipient, and complete payment and reconciliation under separate funds authority. The creator, minter, current controller, seller and copyright owner may be different parties. Their claims and supporting grounds are recorded separately; wallet possession does not automatically confer listing, transfer or licensing authority.</w:t>
      </w:r>
    </w:p>
    <w:p>
      <w:pPr>
        <w:widowControl/>
      </w:pPr>
      <w:r>
        <w:rPr>
          <w:rFonts w:ascii="Calibri" w:hAnsi="Calibri" w:eastAsia="Songti SC"/>
          <w:color w:val="000000"/>
        </w:rPr>
        <w:t>The object record fixes objectId, workVersion, contentDigest, metadataDigest and the binding version, with links to provenance claims, mint-request authority and observation time. An existing token is additionally bound to chainId, contractAddress and tokenId. An unminted object remains a candidate, without fabricating an existing tokenId or completed chain binding. A profile marks minting or binding as confirmed only after the corresponding chain record and prescribed confirmation evidence are available. Failed or unknown mint outcomes and metadata changes preserve the original record and require reconciliation before recovery or a new version; resubmission is not the default recovery action. Digests and mint timestamps establish defined record relationships, not originality or lawful title.</w:t>
      </w:r>
    </w:p>
    <w:p>
      <w:pPr>
        <w:widowControl/>
      </w:pPr>
      <w:r>
        <w:rPr>
          <w:rFonts w:ascii="Calibri" w:hAnsi="Calibri" w:eastAsia="Songti SC"/>
          <w:color w:val="000000"/>
        </w:rPr>
        <w:t>The rights layer states whether the buyer receives token control, specified access or use rights, or other separately executed interests. RightsBinding references rights documents, the authorization chain, territory, purpose, term, sublicensing and revocation or termination conditions; both parties confirm the same termsDigest. Transferring an NFT does not automatically transfer copyright, reproduction rights, investment interests or income claims. Missing or conflicting rights evidence produces an indeterminate result or denial and human review. The legal character of an ordinary NFT transaction still depends on its actual arrangements.</w:t>
      </w:r>
    </w:p>
    <w:p>
      <w:pPr>
        <w:widowControl/>
      </w:pPr>
      <w:r>
        <w:rPr>
          <w:rFonts w:ascii="Calibri" w:hAnsi="Calibri" w:eastAsia="Songti SC"/>
          <w:color w:val="000000"/>
        </w:rPr>
        <w:t>TradeEnvelope fixes the tradeId, seller and buyer, specified token and version, delivery conditions, fees, refund rules, expiry and acceptanceAuthority. A transfer of an indivisible NFT uses an explicit delivery portion identifier; a batch order accepts each object or clearly defined portion separately without counting the same token twice. Listing or resource locks constrain only the integrated participants that observe the mechanism; they cannot guarantee the absence of duplicate sales on every external market. Control status and transfer authority must therefore be checked again before submission.</w:t>
      </w:r>
    </w:p>
    <w:p>
      <w:pPr>
        <w:widowControl/>
      </w:pPr>
      <w:r>
        <w:rPr>
          <w:rFonts w:ascii="Calibri" w:hAnsi="Calibri" w:eastAsia="Songti SC"/>
          <w:color w:val="000000"/>
        </w:rPr>
        <w:t>Delivery evidence separately records the destination account, transaction and log identifiers, chain observation point and confirmation conditions for the token transfer, together with any documents, access or licence delivery required by contract. A seller’s signature or a transfer event does not establish that the customer lawfully received all agreed rights. The verifier creates a PolicyDecision and TrustReceipt, and the authorized accepter creates an AcceptanceRecord under the order conditions. Chain reorganizations, recipient mismatches, unavailable attachments or acceptance disputes enter the relevant reconciliation state. Token transfer, commercial acceptance, receipt of funds and legal finality are assessed separately; atomic delivery across different systems is not presumed.</w:t>
      </w:r>
    </w:p>
    <w:p>
      <w:pPr>
        <w:widowControl/>
      </w:pPr>
      <w:r>
        <w:rPr>
          <w:rFonts w:ascii="Calibri" w:hAnsi="Calibri" w:eastAsia="Songti SC"/>
          <w:color w:val="000000"/>
        </w:rPr>
        <w:t>Payment authority separately binds the order, obligationId, portionId, payee, asset and limit. Service consideration, platform commissions and optional network charges have separate quotes, contractual grounds and ledgers. The first phase may use approved fiat or existing payment routes without issuing or holding $RWAIX. Unknown payments and executed but unapplied amounts continue to consume coverage, and repeated clicks reuse the original paymentAttemptId. A dispute over NFT delivery does not itself authorize a refund, remint or reverse transfer. Customer funds do not become the platform’s own operating budget or flow into later facility financing or the network treasury unless the actual contracts and applicable rules permit that use and the necessary authority is established.</w:t>
      </w:r>
    </w:p>
    <w:p>
      <w:pPr>
        <w:widowControl/>
      </w:pPr>
      <w:r>
        <w:rPr>
          <w:rFonts w:ascii="Calibri" w:hAnsi="Calibri" w:eastAsia="Songti SC"/>
          <w:color w:val="000000"/>
        </w:rPr>
        <w:t>Before release, fixed orders and versions are tested against provenance gaps, unauthorized minting or transfers, metadata substitution, out-of-scope licences, duplicate delivery, chain reorganizations, unknown payments and partial disputes. Report false acceptances divided by known-invalid test cases and false rejections divided by valid test cases, while reporting missing-evidence outcomes separately. Also measure duplicate side effects by unique order and payment attempt, evidence-replay consistency, manual reconciliation time and unresolved discrepancies. Samples, thresholds and baselines are registered in advance. Transfer facts, licence evidence and receipt of funds require reconciliation against their respective independent sources. Passing synthetic browser cases does not establish real platform integration, rights diligence or production security acceptance.</w:t>
      </w:r>
    </w:p>
    <w:p>
      <w:pPr>
        <w:widowControl/>
      </w:pPr>
      <w:r>
        <w:rPr>
          <w:rFonts w:ascii="Calibri" w:hAnsi="Calibri" w:eastAsia="Songti SC"/>
          <w:color w:val="000000"/>
        </w:rPr>
        <w:t>This first application uses ordinary NFT transaction objects and licence credentials, without importing facility DCNFT financing or distribution rights. $RWAIX serves network functions only where separately approved and useful; buying tokens is not a default condition for listing, acceptance or proving truth. Subsequent compute services, facility assets and DCNFT series follow the entity, funds and verification requirements in Section 18.6. Order consideration, commissions and copyright-licence payments in this section are not automatically shared with DCNFT or $RWAIX holders.</w:t>
      </w:r>
    </w:p>
    <w:p>
      <w:pPr>
        <w:pStyle w:val="Heading1"/>
        <w:widowControl/>
      </w:pPr>
      <w:r>
        <w:rPr>
          <w:rFonts w:ascii="Calibri" w:hAnsi="Calibri" w:eastAsia="Songti SC"/>
          <w:color w:val="000000"/>
        </w:rPr>
        <w:t>18 Applications Across Domains and Domain Adaptation</w:t>
      </w:r>
    </w:p>
    <w:p>
      <w:pPr>
        <w:widowControl/>
      </w:pPr>
      <w:r>
        <w:rPr>
          <w:rFonts w:ascii="Calibri" w:hAnsi="Calibri" w:eastAsia="Songti SC"/>
          <w:color w:val="000000"/>
        </w:rPr>
        <w:t>NFT transactions in Section 17 are the first planned application. This section retains the other seven domains as subsequent adaptation and validation directions, not claims of deployment. The matrix places the initial application and extensions together: they share objects, evidence, contextual policies, receipts and separately authorized execution. Industry extensions add schemas and evidence rules while prioritizing core reuse, without presenting industry facts as blockchain consensus.</w:t>
      </w:r>
    </w:p>
    <w:p>
      <w:pPr>
        <w:widowControl/>
      </w:pPr>
      <w:r>
        <w:rPr>
          <w:rFonts w:ascii="Calibri" w:hAnsi="Calibri" w:eastAsia="Songti SC"/>
          <w:color w:val="000000"/>
        </w:rPr>
        <w:t>Each pilot preregisters samples, baselines, thresholds and metric denominators, distinguishing correct rejection, erroneous allowance and insufficient evidence. The acceptance tests below assess only their tested scope and cannot establish universal reliability. Porting effort, core changes and safety exceptions should also be disclosed.</w:t>
      </w:r>
    </w:p>
    <w:p>
      <w:pPr>
        <w:widowControl/>
      </w:pPr>
      <w:r>
        <w:rPr>
          <w:rFonts w:ascii="Calibri" w:hAnsi="Calibri" w:eastAsia="Songti SC"/>
          <w:color w:val="000000"/>
        </w:rPr>
        <w:t>The applicability of the two instruments in each application depends on its specific rights and services. DCNFT retains its facility-interest meaning. Other industries studying new asset or income-participation instruments should establish distinct types and legal documents. Ordinary identity, licensing, data, supply-chain and machine services do not require prior subscription for facility DCNFT. The network-token module is enabled only in approved configurations with a practical purpose.</w:t>
      </w:r>
    </w:p>
    <w:p>
      <w:pPr>
        <w:widowControl/>
      </w:pPr>
      <w:r>
        <w:rPr>
          <w:rFonts w:ascii="Calibri" w:hAnsi="Calibri" w:eastAsia="Songti SC"/>
          <w:color w:val="000000"/>
        </w:rPr>
        <w:t>NFT transactions and the seven extensions share the transaction events and conformance rules in Sections 4 to 5. Each profile fixes acceptable evidence, delivery units, acceptance authorities, dispute handling and settlement conditions. Processes such as identity verification that involve no purchase payment declare the absence of the corresponding payment obligation. Data and copyright applications specify licence scope, while physical-goods and device applications retain their on-site sources of facts and safety controls. Modules can be reused, while domain meaning must remain explicit.</w:t>
      </w:r>
    </w:p>
    <w:p>
      <w:pPr>
        <w:widowControl/>
      </w:pPr>
      <w:r>
        <w:rPr>
          <w:rFonts w:ascii="Calibri" w:hAnsi="Calibri" w:eastAsia="Songti SC"/>
          <w:color w:val="000000"/>
        </w:rPr>
        <w:t>Section 17 develops the initial NFT transaction design; this section covers seven extension domains. Section 25 identifies potential payers, billing units and initial commercial-validation milestones for each. Section 26 separately identifies the actual browser-demo version and coverage; the number of demonstrations does not substitute for pilot acceptance. Reusing state and ledger rules does not imply connections to real institutions, industry data, assets or customers, and adoption does not require token issuance in every application.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512"/>
        <w:gridCol w:w="3024"/>
        <w:gridCol w:w="2808"/>
        <w:gridCol w:w="2736"/>
      </w:tblGrid>
      <w:tr>
        <w:trPr>
          <w:cantSplit/>
          <w:tblHeader/>
        </w:trPr>
        <w:tc>
          <w:tcPr>
            <w:tcW w:type="dxa" w:w="1512"/>
            <w:vAlign w:val="center"/>
            <w:shd w:fill="E7EDF2"/>
          </w:tcPr>
          <w:p>
            <w:pPr>
              <w:spacing w:after="0" w:before="0" w:line="259" w:lineRule="auto"/>
            </w:pPr>
            <w:r>
              <w:rPr>
                <w:rFonts w:ascii="Calibri" w:hAnsi="Calibri" w:eastAsia="Songti SC"/>
                <w:b/>
                <w:color w:val="000000"/>
                <w:sz w:val="20"/>
              </w:rPr>
              <w:t>Scenario</w:t>
            </w:r>
          </w:p>
        </w:tc>
        <w:tc>
          <w:tcPr>
            <w:tcW w:type="dxa" w:w="3024"/>
            <w:vAlign w:val="center"/>
            <w:shd w:fill="E7EDF2"/>
          </w:tcPr>
          <w:p>
            <w:pPr>
              <w:spacing w:after="0" w:before="0" w:line="259" w:lineRule="auto"/>
            </w:pPr>
            <w:r>
              <w:rPr>
                <w:rFonts w:ascii="Calibri" w:hAnsi="Calibri" w:eastAsia="Songti SC"/>
                <w:b/>
                <w:color w:val="000000"/>
                <w:sz w:val="20"/>
              </w:rPr>
              <w:t>Proposition to Establish</w:t>
            </w:r>
          </w:p>
        </w:tc>
        <w:tc>
          <w:tcPr>
            <w:tcW w:type="dxa" w:w="2808"/>
            <w:vAlign w:val="center"/>
            <w:shd w:fill="E7EDF2"/>
          </w:tcPr>
          <w:p>
            <w:pPr>
              <w:spacing w:after="0" w:before="0" w:line="259" w:lineRule="auto"/>
            </w:pPr>
            <w:r>
              <w:rPr>
                <w:rFonts w:ascii="Calibri" w:hAnsi="Calibri" w:eastAsia="Songti SC"/>
                <w:b/>
                <w:color w:val="000000"/>
                <w:sz w:val="20"/>
              </w:rPr>
              <w:t>Shared Core</w:t>
            </w:r>
          </w:p>
        </w:tc>
        <w:tc>
          <w:tcPr>
            <w:tcW w:type="dxa" w:w="2736"/>
            <w:vAlign w:val="center"/>
            <w:shd w:fill="E7EDF2"/>
          </w:tcPr>
          <w:p>
            <w:pPr>
              <w:spacing w:after="0" w:before="0" w:line="259" w:lineRule="auto"/>
            </w:pPr>
            <w:r>
              <w:rPr>
                <w:rFonts w:ascii="Calibri" w:hAnsi="Calibri" w:eastAsia="Songti SC"/>
                <w:b/>
                <w:color w:val="000000"/>
                <w:sz w:val="20"/>
              </w:rPr>
              <w:t>Domain Dependencies</w:t>
            </w:r>
          </w:p>
        </w:tc>
      </w:tr>
      <w:tr>
        <w:trPr>
          <w:cantSplit/>
        </w:trPr>
        <w:tc>
          <w:tcPr>
            <w:tcW w:type="dxa" w:w="1512"/>
            <w:vAlign w:val="center"/>
            <w:shd w:fill="FFFFFF"/>
          </w:tcPr>
          <w:p>
            <w:pPr>
              <w:spacing w:after="0" w:before="0" w:line="259" w:lineRule="auto"/>
            </w:pPr>
            <w:r>
              <w:rPr>
                <w:rFonts w:ascii="Calibri" w:hAnsi="Calibri" w:eastAsia="Songti SC"/>
                <w:color w:val="000000"/>
                <w:sz w:val="20"/>
              </w:rPr>
              <w:t>NFT trades (initial)</w:t>
            </w:r>
          </w:p>
        </w:tc>
        <w:tc>
          <w:tcPr>
            <w:tcW w:type="dxa" w:w="3024"/>
            <w:vAlign w:val="center"/>
            <w:shd w:fill="FFFFFF"/>
          </w:tcPr>
          <w:p>
            <w:pPr>
              <w:spacing w:after="0" w:before="0" w:line="259" w:lineRule="auto"/>
            </w:pPr>
            <w:r>
              <w:rPr>
                <w:rFonts w:ascii="Calibri" w:hAnsi="Calibri" w:eastAsia="Songti SC"/>
                <w:color w:val="000000"/>
                <w:sz w:val="20"/>
              </w:rPr>
              <w:t>Transfer and licence evidence for the specified object meets order conditions</w:t>
            </w:r>
          </w:p>
        </w:tc>
        <w:tc>
          <w:tcPr>
            <w:tcW w:type="dxa" w:w="2808"/>
            <w:vAlign w:val="center"/>
            <w:shd w:fill="FFFFFF"/>
          </w:tcPr>
          <w:p>
            <w:pPr>
              <w:spacing w:after="0" w:before="0" w:line="259" w:lineRule="auto"/>
            </w:pPr>
            <w:r>
              <w:rPr>
                <w:rFonts w:ascii="Calibri" w:hAnsi="Calibri" w:eastAsia="Songti SC"/>
                <w:color w:val="000000"/>
                <w:sz w:val="20"/>
              </w:rPr>
              <w:t>Object binding, order, acceptance, separate payment</w:t>
            </w:r>
          </w:p>
        </w:tc>
        <w:tc>
          <w:tcPr>
            <w:tcW w:type="dxa" w:w="2736"/>
            <w:vAlign w:val="center"/>
            <w:shd w:fill="FFFFFF"/>
          </w:tcPr>
          <w:p>
            <w:pPr>
              <w:spacing w:after="0" w:before="0" w:line="259" w:lineRule="auto"/>
            </w:pPr>
            <w:r>
              <w:rPr>
                <w:rFonts w:ascii="Calibri" w:hAnsi="Calibri" w:eastAsia="Songti SC"/>
                <w:color w:val="000000"/>
                <w:sz w:val="20"/>
              </w:rPr>
              <w:t>Platform authority, rights chain, chain records and receiving entity</w:t>
            </w:r>
          </w:p>
        </w:tc>
      </w:tr>
      <w:tr>
        <w:trPr>
          <w:cantSplit/>
        </w:trPr>
        <w:tc>
          <w:tcPr>
            <w:tcW w:type="dxa" w:w="1512"/>
            <w:vAlign w:val="center"/>
            <w:shd w:fill="FFFFFF"/>
          </w:tcPr>
          <w:p>
            <w:pPr>
              <w:spacing w:after="0" w:before="0" w:line="259" w:lineRule="auto"/>
            </w:pPr>
            <w:r>
              <w:rPr>
                <w:rFonts w:ascii="Calibri" w:hAnsi="Calibri" w:eastAsia="Songti SC"/>
                <w:color w:val="000000"/>
                <w:sz w:val="20"/>
              </w:rPr>
              <w:t>Identity and qualifications</w:t>
            </w:r>
          </w:p>
        </w:tc>
        <w:tc>
          <w:tcPr>
            <w:tcW w:type="dxa" w:w="3024"/>
            <w:vAlign w:val="center"/>
            <w:shd w:fill="FFFFFF"/>
          </w:tcPr>
          <w:p>
            <w:pPr>
              <w:spacing w:after="0" w:before="0" w:line="259" w:lineRule="auto"/>
            </w:pPr>
            <w:r>
              <w:rPr>
                <w:rFonts w:ascii="Calibri" w:hAnsi="Calibri" w:eastAsia="Songti SC"/>
                <w:color w:val="000000"/>
                <w:sz w:val="20"/>
              </w:rPr>
              <w:t>The specified subject currently meets admission conditions</w:t>
            </w:r>
          </w:p>
        </w:tc>
        <w:tc>
          <w:tcPr>
            <w:tcW w:type="dxa" w:w="2808"/>
            <w:vAlign w:val="center"/>
            <w:shd w:fill="FFFFFF"/>
          </w:tcPr>
          <w:p>
            <w:pPr>
              <w:spacing w:after="0" w:before="0" w:line="259" w:lineRule="auto"/>
            </w:pPr>
            <w:r>
              <w:rPr>
                <w:rFonts w:ascii="Calibri" w:hAnsi="Calibri" w:eastAsia="Songti SC"/>
                <w:color w:val="000000"/>
                <w:sz w:val="20"/>
              </w:rPr>
              <w:t>Subject binding, credential status, receipts</w:t>
            </w:r>
          </w:p>
        </w:tc>
        <w:tc>
          <w:tcPr>
            <w:tcW w:type="dxa" w:w="2736"/>
            <w:vAlign w:val="center"/>
            <w:shd w:fill="FFFFFF"/>
          </w:tcPr>
          <w:p>
            <w:pPr>
              <w:spacing w:after="0" w:before="0" w:line="259" w:lineRule="auto"/>
            </w:pPr>
            <w:r>
              <w:rPr>
                <w:rFonts w:ascii="Calibri" w:hAnsi="Calibri" w:eastAsia="Songti SC"/>
                <w:color w:val="000000"/>
                <w:sz w:val="20"/>
              </w:rPr>
              <w:t>Institutional authority, identity and recovery</w:t>
            </w:r>
          </w:p>
        </w:tc>
      </w:tr>
      <w:tr>
        <w:trPr>
          <w:cantSplit/>
        </w:trPr>
        <w:tc>
          <w:tcPr>
            <w:tcW w:type="dxa" w:w="1512"/>
            <w:vAlign w:val="center"/>
            <w:shd w:fill="FFFFFF"/>
          </w:tcPr>
          <w:p>
            <w:pPr>
              <w:spacing w:after="0" w:before="0" w:line="259" w:lineRule="auto"/>
            </w:pPr>
            <w:r>
              <w:rPr>
                <w:rFonts w:ascii="Calibri" w:hAnsi="Calibri" w:eastAsia="Songti SC"/>
                <w:color w:val="000000"/>
                <w:sz w:val="20"/>
              </w:rPr>
              <w:t>Content licensing</w:t>
            </w:r>
          </w:p>
        </w:tc>
        <w:tc>
          <w:tcPr>
            <w:tcW w:type="dxa" w:w="3024"/>
            <w:vAlign w:val="center"/>
            <w:shd w:fill="FFFFFF"/>
          </w:tcPr>
          <w:p>
            <w:pPr>
              <w:spacing w:after="0" w:before="0" w:line="259" w:lineRule="auto"/>
            </w:pPr>
            <w:r>
              <w:rPr>
                <w:rFonts w:ascii="Calibri" w:hAnsi="Calibri" w:eastAsia="Songti SC"/>
                <w:color w:val="000000"/>
                <w:sz w:val="20"/>
              </w:rPr>
              <w:t>The licensee is authorized for a specified use of a version</w:t>
            </w:r>
          </w:p>
        </w:tc>
        <w:tc>
          <w:tcPr>
            <w:tcW w:type="dxa" w:w="2808"/>
            <w:vAlign w:val="center"/>
            <w:shd w:fill="FFFFFF"/>
          </w:tcPr>
          <w:p>
            <w:pPr>
              <w:spacing w:after="0" w:before="0" w:line="259" w:lineRule="auto"/>
            </w:pPr>
            <w:r>
              <w:rPr>
                <w:rFonts w:ascii="Calibri" w:hAnsi="Calibri" w:eastAsia="Songti SC"/>
                <w:color w:val="000000"/>
                <w:sz w:val="20"/>
              </w:rPr>
              <w:t>Object versions, rights references, policies</w:t>
            </w:r>
          </w:p>
        </w:tc>
        <w:tc>
          <w:tcPr>
            <w:tcW w:type="dxa" w:w="2736"/>
            <w:vAlign w:val="center"/>
            <w:shd w:fill="FFFFFF"/>
          </w:tcPr>
          <w:p>
            <w:pPr>
              <w:spacing w:after="0" w:before="0" w:line="259" w:lineRule="auto"/>
            </w:pPr>
            <w:r>
              <w:rPr>
                <w:rFonts w:ascii="Calibri" w:hAnsi="Calibri" w:eastAsia="Songti SC"/>
                <w:color w:val="000000"/>
                <w:sz w:val="20"/>
              </w:rPr>
              <w:t>Copyright evidence and dispute resolution</w:t>
            </w:r>
          </w:p>
        </w:tc>
      </w:tr>
      <w:tr>
        <w:trPr>
          <w:cantSplit/>
        </w:trPr>
        <w:tc>
          <w:tcPr>
            <w:tcW w:type="dxa" w:w="1512"/>
            <w:vAlign w:val="center"/>
            <w:shd w:fill="FFFFFF"/>
          </w:tcPr>
          <w:p>
            <w:pPr>
              <w:spacing w:after="0" w:before="0" w:line="259" w:lineRule="auto"/>
            </w:pPr>
            <w:r>
              <w:rPr>
                <w:rFonts w:ascii="Calibri" w:hAnsi="Calibri" w:eastAsia="Songti SC"/>
                <w:color w:val="000000"/>
                <w:sz w:val="20"/>
              </w:rPr>
              <w:t>Data collaboration</w:t>
            </w:r>
          </w:p>
        </w:tc>
        <w:tc>
          <w:tcPr>
            <w:tcW w:type="dxa" w:w="3024"/>
            <w:vAlign w:val="center"/>
            <w:shd w:fill="FFFFFF"/>
          </w:tcPr>
          <w:p>
            <w:pPr>
              <w:spacing w:after="0" w:before="0" w:line="259" w:lineRule="auto"/>
            </w:pPr>
            <w:r>
              <w:rPr>
                <w:rFonts w:ascii="Calibri" w:hAnsi="Calibri" w:eastAsia="Songti SC"/>
                <w:color w:val="000000"/>
                <w:sz w:val="20"/>
              </w:rPr>
              <w:t>This access meets the agreed purpose and scope</w:t>
            </w:r>
          </w:p>
        </w:tc>
        <w:tc>
          <w:tcPr>
            <w:tcW w:type="dxa" w:w="2808"/>
            <w:vAlign w:val="center"/>
            <w:shd w:fill="FFFFFF"/>
          </w:tcPr>
          <w:p>
            <w:pPr>
              <w:spacing w:after="0" w:before="0" w:line="259" w:lineRule="auto"/>
            </w:pPr>
            <w:r>
              <w:rPr>
                <w:rFonts w:ascii="Calibri" w:hAnsi="Calibri" w:eastAsia="Songti SC"/>
                <w:color w:val="000000"/>
                <w:sz w:val="20"/>
              </w:rPr>
              <w:t>Purpose binding, minimum disclosure, authority</w:t>
            </w:r>
          </w:p>
        </w:tc>
        <w:tc>
          <w:tcPr>
            <w:tcW w:type="dxa" w:w="2736"/>
            <w:vAlign w:val="center"/>
            <w:shd w:fill="FFFFFF"/>
          </w:tcPr>
          <w:p>
            <w:pPr>
              <w:spacing w:after="0" w:before="0" w:line="259" w:lineRule="auto"/>
            </w:pPr>
            <w:r>
              <w:rPr>
                <w:rFonts w:ascii="Calibri" w:hAnsi="Calibri" w:eastAsia="Songti SC"/>
                <w:color w:val="000000"/>
                <w:sz w:val="20"/>
              </w:rPr>
              <w:t>Custodian and constraints at the user</w:t>
            </w:r>
          </w:p>
        </w:tc>
      </w:tr>
      <w:tr>
        <w:trPr>
          <w:cantSplit/>
        </w:trPr>
        <w:tc>
          <w:tcPr>
            <w:tcW w:type="dxa" w:w="1512"/>
            <w:vAlign w:val="center"/>
            <w:shd w:fill="FFFFFF"/>
          </w:tcPr>
          <w:p>
            <w:pPr>
              <w:spacing w:after="0" w:before="0" w:line="259" w:lineRule="auto"/>
            </w:pPr>
            <w:r>
              <w:rPr>
                <w:rFonts w:ascii="Calibri" w:hAnsi="Calibri" w:eastAsia="Songti SC"/>
                <w:color w:val="000000"/>
                <w:sz w:val="20"/>
              </w:rPr>
              <w:t>Physical performance</w:t>
            </w:r>
          </w:p>
        </w:tc>
        <w:tc>
          <w:tcPr>
            <w:tcW w:type="dxa" w:w="3024"/>
            <w:vAlign w:val="center"/>
            <w:shd w:fill="FFFFFF"/>
          </w:tcPr>
          <w:p>
            <w:pPr>
              <w:spacing w:after="0" w:before="0" w:line="259" w:lineRule="auto"/>
            </w:pPr>
            <w:r>
              <w:rPr>
                <w:rFonts w:ascii="Calibri" w:hAnsi="Calibri" w:eastAsia="Songti SC"/>
                <w:color w:val="000000"/>
                <w:sz w:val="20"/>
              </w:rPr>
              <w:t>The specified parties confirmed the agreed handover</w:t>
            </w:r>
          </w:p>
        </w:tc>
        <w:tc>
          <w:tcPr>
            <w:tcW w:type="dxa" w:w="2808"/>
            <w:vAlign w:val="center"/>
            <w:shd w:fill="FFFFFF"/>
          </w:tcPr>
          <w:p>
            <w:pPr>
              <w:spacing w:after="0" w:before="0" w:line="259" w:lineRule="auto"/>
            </w:pPr>
            <w:r>
              <w:rPr>
                <w:rFonts w:ascii="Calibri" w:hAnsi="Calibri" w:eastAsia="Songti SC"/>
                <w:color w:val="000000"/>
                <w:sz w:val="20"/>
              </w:rPr>
              <w:t>Evidence dependencies, lifecycles, disputes</w:t>
            </w:r>
          </w:p>
        </w:tc>
        <w:tc>
          <w:tcPr>
            <w:tcW w:type="dxa" w:w="2736"/>
            <w:vAlign w:val="center"/>
            <w:shd w:fill="FFFFFF"/>
          </w:tcPr>
          <w:p>
            <w:pPr>
              <w:spacing w:after="0" w:before="0" w:line="259" w:lineRule="auto"/>
            </w:pPr>
            <w:r>
              <w:rPr>
                <w:rFonts w:ascii="Calibri" w:hAnsi="Calibri" w:eastAsia="Songti SC"/>
                <w:color w:val="000000"/>
                <w:sz w:val="20"/>
              </w:rPr>
              <w:t>Physical inspection, tags and sensors</w:t>
            </w:r>
          </w:p>
        </w:tc>
      </w:tr>
      <w:tr>
        <w:trPr>
          <w:cantSplit/>
        </w:trPr>
        <w:tc>
          <w:tcPr>
            <w:tcW w:type="dxa" w:w="1512"/>
            <w:vAlign w:val="center"/>
            <w:shd w:fill="FFFFFF"/>
          </w:tcPr>
          <w:p>
            <w:pPr>
              <w:spacing w:after="0" w:before="0" w:line="259" w:lineRule="auto"/>
            </w:pPr>
            <w:r>
              <w:rPr>
                <w:rFonts w:ascii="Calibri" w:hAnsi="Calibri" w:eastAsia="Songti SC"/>
                <w:color w:val="000000"/>
                <w:sz w:val="20"/>
              </w:rPr>
              <w:t>Agent workflows</w:t>
            </w:r>
          </w:p>
        </w:tc>
        <w:tc>
          <w:tcPr>
            <w:tcW w:type="dxa" w:w="3024"/>
            <w:vAlign w:val="center"/>
            <w:shd w:fill="FFFFFF"/>
          </w:tcPr>
          <w:p>
            <w:pPr>
              <w:spacing w:after="0" w:before="0" w:line="259" w:lineRule="auto"/>
            </w:pPr>
            <w:r>
              <w:rPr>
                <w:rFonts w:ascii="Calibri" w:hAnsi="Calibri" w:eastAsia="Songti SC"/>
                <w:color w:val="000000"/>
                <w:sz w:val="20"/>
              </w:rPr>
              <w:t>The action is within a valid delegation and aggregate budget</w:t>
            </w:r>
          </w:p>
        </w:tc>
        <w:tc>
          <w:tcPr>
            <w:tcW w:type="dxa" w:w="2808"/>
            <w:vAlign w:val="center"/>
            <w:shd w:fill="FFFFFF"/>
          </w:tcPr>
          <w:p>
            <w:pPr>
              <w:spacing w:after="0" w:before="0" w:line="259" w:lineRule="auto"/>
            </w:pPr>
            <w:r>
              <w:rPr>
                <w:rFonts w:ascii="Calibri" w:hAnsi="Calibri" w:eastAsia="Songti SC"/>
                <w:color w:val="000000"/>
                <w:sz w:val="20"/>
              </w:rPr>
              <w:t>Intents, authority, budgets, idempotency</w:t>
            </w:r>
          </w:p>
        </w:tc>
        <w:tc>
          <w:tcPr>
            <w:tcW w:type="dxa" w:w="2736"/>
            <w:vAlign w:val="center"/>
            <w:shd w:fill="FFFFFF"/>
          </w:tcPr>
          <w:p>
            <w:pPr>
              <w:spacing w:after="0" w:before="0" w:line="259" w:lineRule="auto"/>
            </w:pPr>
            <w:r>
              <w:rPr>
                <w:rFonts w:ascii="Calibri" w:hAnsi="Calibri" w:eastAsia="Songti SC"/>
                <w:color w:val="000000"/>
                <w:sz w:val="20"/>
              </w:rPr>
              <w:t>Tool semantics and organizational approvals</w:t>
            </w:r>
          </w:p>
        </w:tc>
      </w:tr>
      <w:tr>
        <w:trPr>
          <w:cantSplit/>
        </w:trPr>
        <w:tc>
          <w:tcPr>
            <w:tcW w:type="dxa" w:w="1512"/>
            <w:vAlign w:val="center"/>
            <w:shd w:fill="FFFFFF"/>
          </w:tcPr>
          <w:p>
            <w:pPr>
              <w:spacing w:after="0" w:before="0" w:line="259" w:lineRule="auto"/>
            </w:pPr>
            <w:r>
              <w:rPr>
                <w:rFonts w:ascii="Calibri" w:hAnsi="Calibri" w:eastAsia="Songti SC"/>
                <w:color w:val="000000"/>
                <w:sz w:val="20"/>
              </w:rPr>
              <w:t>Compute services</w:t>
            </w:r>
          </w:p>
        </w:tc>
        <w:tc>
          <w:tcPr>
            <w:tcW w:type="dxa" w:w="3024"/>
            <w:vAlign w:val="center"/>
            <w:shd w:fill="FFFFFF"/>
          </w:tcPr>
          <w:p>
            <w:pPr>
              <w:spacing w:after="0" w:before="0" w:line="259" w:lineRule="auto"/>
            </w:pPr>
            <w:r>
              <w:rPr>
                <w:rFonts w:ascii="Calibri" w:hAnsi="Calibri" w:eastAsia="Songti SC"/>
                <w:color w:val="000000"/>
                <w:sz w:val="20"/>
              </w:rPr>
              <w:t>Delivery evidence meets a specific acceptance policy</w:t>
            </w:r>
          </w:p>
        </w:tc>
        <w:tc>
          <w:tcPr>
            <w:tcW w:type="dxa" w:w="2808"/>
            <w:vAlign w:val="center"/>
            <w:shd w:fill="FFFFFF"/>
          </w:tcPr>
          <w:p>
            <w:pPr>
              <w:spacing w:after="0" w:before="0" w:line="259" w:lineRule="auto"/>
            </w:pPr>
            <w:r>
              <w:rPr>
                <w:rFonts w:ascii="Calibri" w:hAnsi="Calibri" w:eastAsia="Songti SC"/>
                <w:color w:val="000000"/>
                <w:sz w:val="20"/>
              </w:rPr>
              <w:t>Commitments, evidence, decisions, execution</w:t>
            </w:r>
          </w:p>
        </w:tc>
        <w:tc>
          <w:tcPr>
            <w:tcW w:type="dxa" w:w="2736"/>
            <w:vAlign w:val="center"/>
            <w:shd w:fill="FFFFFF"/>
          </w:tcPr>
          <w:p>
            <w:pPr>
              <w:spacing w:after="0" w:before="0" w:line="259" w:lineRule="auto"/>
            </w:pPr>
            <w:r>
              <w:rPr>
                <w:rFonts w:ascii="Calibri" w:hAnsi="Calibri" w:eastAsia="Songti SC"/>
                <w:color w:val="000000"/>
                <w:sz w:val="20"/>
              </w:rPr>
              <w:t>Metering, task verification and customer acceptance</w:t>
            </w:r>
          </w:p>
        </w:tc>
      </w:tr>
      <w:tr>
        <w:trPr>
          <w:cantSplit/>
        </w:trPr>
        <w:tc>
          <w:tcPr>
            <w:tcW w:type="dxa" w:w="1512"/>
            <w:vAlign w:val="center"/>
            <w:shd w:fill="FFFFFF"/>
          </w:tcPr>
          <w:p>
            <w:pPr>
              <w:spacing w:after="0" w:before="0" w:line="259" w:lineRule="auto"/>
            </w:pPr>
            <w:r>
              <w:rPr>
                <w:rFonts w:ascii="Calibri" w:hAnsi="Calibri" w:eastAsia="Songti SC"/>
                <w:color w:val="000000"/>
                <w:sz w:val="20"/>
              </w:rPr>
              <w:t>Machine services</w:t>
            </w:r>
          </w:p>
        </w:tc>
        <w:tc>
          <w:tcPr>
            <w:tcW w:type="dxa" w:w="3024"/>
            <w:vAlign w:val="center"/>
            <w:shd w:fill="FFFFFF"/>
          </w:tcPr>
          <w:p>
            <w:pPr>
              <w:spacing w:after="0" w:before="0" w:line="259" w:lineRule="auto"/>
            </w:pPr>
            <w:r>
              <w:rPr>
                <w:rFonts w:ascii="Calibri" w:hAnsi="Calibri" w:eastAsia="Songti SC"/>
                <w:color w:val="000000"/>
                <w:sz w:val="20"/>
              </w:rPr>
              <w:t>An authorized device performs a task within a defined scope</w:t>
            </w:r>
          </w:p>
        </w:tc>
        <w:tc>
          <w:tcPr>
            <w:tcW w:type="dxa" w:w="2808"/>
            <w:vAlign w:val="center"/>
            <w:shd w:fill="FFFFFF"/>
          </w:tcPr>
          <w:p>
            <w:pPr>
              <w:spacing w:after="0" w:before="0" w:line="259" w:lineRule="auto"/>
            </w:pPr>
            <w:r>
              <w:rPr>
                <w:rFonts w:ascii="Calibri" w:hAnsi="Calibri" w:eastAsia="Songti SC"/>
                <w:color w:val="000000"/>
                <w:sz w:val="20"/>
              </w:rPr>
              <w:t>Device binding, permissions, execution records</w:t>
            </w:r>
          </w:p>
        </w:tc>
        <w:tc>
          <w:tcPr>
            <w:tcW w:type="dxa" w:w="2736"/>
            <w:vAlign w:val="center"/>
            <w:shd w:fill="FFFFFF"/>
          </w:tcPr>
          <w:p>
            <w:pPr>
              <w:spacing w:after="0" w:before="0" w:line="259" w:lineRule="auto"/>
            </w:pPr>
            <w:r>
              <w:rPr>
                <w:rFonts w:ascii="Calibri" w:hAnsi="Calibri" w:eastAsia="Songti SC"/>
                <w:color w:val="000000"/>
                <w:sz w:val="20"/>
              </w:rPr>
              <w:t>Local safety, calibration and on-site control</w:t>
            </w:r>
          </w:p>
        </w:tc>
      </w:tr>
    </w:tbl>
    <w:p>
      <w:pPr>
        <w:widowControl/>
        <w:spacing w:after="20"/>
      </w:pPr>
    </w:p>
    <w:p>
      <w:pPr>
        <w:pStyle w:val="Heading2"/>
        <w:widowControl/>
      </w:pPr>
      <w:r>
        <w:rPr>
          <w:rFonts w:ascii="Calibri" w:hAnsi="Calibri" w:eastAsia="Songti SC"/>
          <w:color w:val="000000"/>
        </w:rPr>
        <w:t>18 1 Identity Qualifications and Collaboration Across Institutions</w:t>
      </w:r>
    </w:p>
    <w:p>
      <w:pPr>
        <w:widowControl/>
      </w:pPr>
      <w:r>
        <w:rPr>
          <w:rFonts w:ascii="Calibri" w:hAnsi="Calibri" w:eastAsia="Songti SC"/>
          <w:color w:val="000000"/>
        </w:rPr>
        <w:t>An applicant presents purpose-limited qualification evidence to a receiving institution; the issuer, applicant and relying party retain distinct responsibilities. A TrustObject binds the subject, while the evidence graph links qualifications, authority and status. The policy checks issuer authority, purpose and validity and produces a receipt. The receiving institution separately authorizes account opening, admission or collaboration. Qualifications cannot be sold with a transferable asset NFT.</w:t>
      </w:r>
    </w:p>
    <w:p>
      <w:pPr>
        <w:widowControl/>
      </w:pPr>
      <w:r>
        <w:rPr>
          <w:rFonts w:ascii="Calibri" w:hAnsi="Calibri" w:eastAsia="Songti SC"/>
          <w:color w:val="000000"/>
        </w:rPr>
        <w:t>Key control does not establish real-world identity, and multiple accounts do not establish multiple independent people. Acceptance across institutions depends on recognized issuers and recovery rules. Acceptance testing reports erroneous admissions after revocation in the test set, decision agreement across implementations, and the fields disclosed and time required for legitimate applications. Rejection and insufficient evidence are recorded separately, with an appeal path.</w:t>
      </w:r>
    </w:p>
    <w:p>
      <w:pPr>
        <w:widowControl/>
      </w:pPr>
      <w:r>
        <w:rPr>
          <w:rFonts w:ascii="Calibri" w:hAnsi="Calibri" w:eastAsia="Songti SC"/>
          <w:color w:val="000000"/>
        </w:rPr>
        <w:t>This application primarily uses qualification and subject-binding objects and does not require DCNFT investment interests. $RWAIX may be an approved option for verification-service fees or performance bonds. Fees are borne by the applicant, institution or agreed sponsor; purchasing tokens does not become a condition for obtaining genuine qualifications.</w:t>
      </w:r>
    </w:p>
    <w:p>
      <w:pPr>
        <w:pStyle w:val="Heading2"/>
        <w:widowControl/>
      </w:pPr>
      <w:r>
        <w:rPr>
          <w:rFonts w:ascii="Calibri" w:hAnsi="Calibri" w:eastAsia="Songti SC"/>
          <w:color w:val="000000"/>
        </w:rPr>
        <w:t>18 2 Content Copyright and Licensing</w:t>
      </w:r>
    </w:p>
    <w:p>
      <w:pPr>
        <w:widowControl/>
      </w:pPr>
      <w:r>
        <w:rPr>
          <w:rFonts w:ascii="Calibri" w:hAnsi="Calibri" w:eastAsia="Songti SC"/>
          <w:color w:val="000000"/>
        </w:rPr>
        <w:t>A creator registers a version of a work, a licensor states the basis of its rights, and a user requests a particular use. The TrustObject references the content digest and licence documents; the evidence graph retains creation claims, the authorization chain and disputes. The policy checks territory, duration, purpose and sublicensing scope. A receipt supports review; only a separately authorized adapter can grant access or execute an agreed payment.</w:t>
      </w:r>
    </w:p>
    <w:p>
      <w:pPr>
        <w:widowControl/>
      </w:pPr>
      <w:r>
        <w:rPr>
          <w:rFonts w:ascii="Calibri" w:hAnsi="Calibri" w:eastAsia="Songti SC"/>
          <w:color w:val="000000"/>
        </w:rPr>
        <w:t>A timestamp, signature or provenance record does not prove that content is true or original, or that the licensor owns its copyright. Disputes require the agreed dispute-resolution institution. Tests cover expired licences, out-of-scope uses, conflicting claims about the same work and invalid sublicensing, reporting erroneous-allow rates, detection of gaps in the rights chain and version-replay agreement. Revoking a credential cannot automatically recall downloaded copies.</w:t>
      </w:r>
    </w:p>
    <w:p>
      <w:pPr>
        <w:widowControl/>
      </w:pPr>
      <w:r>
        <w:rPr>
          <w:rFonts w:ascii="Calibri" w:hAnsi="Calibri" w:eastAsia="Songti SC"/>
          <w:color w:val="000000"/>
        </w:rPr>
        <w:t>Work NFTs and licence credentials define specific uses and do not become facility DCNFT merely because they take NFT form. Approved network fees may use $RWAIX, while creator licence compensation is settled separately under the licence agreement. Instruments participating in copyright income require their own type and rights design.</w:t>
      </w:r>
    </w:p>
    <w:p>
      <w:pPr>
        <w:pStyle w:val="Heading2"/>
        <w:widowControl/>
      </w:pPr>
      <w:r>
        <w:rPr>
          <w:rFonts w:ascii="Calibri" w:hAnsi="Calibri" w:eastAsia="Songti SC"/>
          <w:color w:val="000000"/>
        </w:rPr>
        <w:t>18 3 Data Authorization and Privacy Preserving Collaboration</w:t>
      </w:r>
    </w:p>
    <w:p>
      <w:pPr>
        <w:widowControl/>
      </w:pPr>
      <w:r>
        <w:rPr>
          <w:rFonts w:ascii="Calibri" w:hAnsi="Calibri" w:eastAsia="Songti SC"/>
          <w:color w:val="000000"/>
        </w:rPr>
        <w:t>The data provider and user agree on purpose, recipients and duration, while a custodian controls actual access. A TrustObject represents a dataset version or access commitment, and controlled evidence records authority, provenance and processing constraints. A policy evaluates the request with minimum disclosure. A receipt together with separate authorization enables time-limited access, controlled queries or permitted computation; logs record actual calls.</w:t>
      </w:r>
    </w:p>
    <w:p>
      <w:pPr>
        <w:widowControl/>
      </w:pPr>
      <w:r>
        <w:rPr>
          <w:rFonts w:ascii="Calibri" w:hAnsi="Calibri" w:eastAsia="Songti SC"/>
          <w:color w:val="000000"/>
        </w:rPr>
        <w:t>Sensitive source data remains in a controlled environment; an on-chain commitment does not provide confidentiality. Revocation should prevent subsequent authorized access, but cannot erase copied data or effects already incorporated into a model. Tests measure the distribution of time from revocation to access blocking, successful unauthorized queries, disclosed fields and leakage through logs. Loss of control at the user, model leakage and data deletion require separate safeguards and evidence.</w:t>
      </w:r>
    </w:p>
    <w:p>
      <w:pPr>
        <w:widowControl/>
      </w:pPr>
      <w:r>
        <w:rPr>
          <w:rFonts w:ascii="Calibri" w:hAnsi="Calibri" w:eastAsia="Songti SC"/>
          <w:color w:val="000000"/>
        </w:rPr>
        <w:t>Data access rights depend on licences and access controls. $RWAIX may support approved data-service fees or node-service compensation, but token holdings do not automatically purchase sensitive data or AI training rights. Facility DCNFT does not serve as a data-access credential.</w:t>
      </w:r>
    </w:p>
    <w:p>
      <w:pPr>
        <w:pStyle w:val="Heading2"/>
        <w:widowControl/>
      </w:pPr>
      <w:r>
        <w:rPr>
          <w:rFonts w:ascii="Calibri" w:hAnsi="Calibri" w:eastAsia="Songti SC"/>
          <w:color w:val="000000"/>
        </w:rPr>
        <w:t>18 4 Supply Chains and Physical Performance</w:t>
      </w:r>
    </w:p>
    <w:p>
      <w:pPr>
        <w:widowControl/>
      </w:pPr>
      <w:r>
        <w:rPr>
          <w:rFonts w:ascii="Calibri" w:hAnsi="Calibri" w:eastAsia="Songti SC"/>
          <w:color w:val="000000"/>
        </w:rPr>
        <w:t>Suppliers, carriers and recipients coordinate batch handovers. A TrustObject links the batch, order and traceability identifier; the evidence graph links signed receipts, inspections and sensor records. The policy checks participants’ authority, event order, quantities and acceptance conditions. A receipt supports the receiving decision; an authorized system separately recognizes inventory, payables or a dispute.</w:t>
      </w:r>
    </w:p>
    <w:p>
      <w:pPr>
        <w:widowControl/>
      </w:pPr>
      <w:r>
        <w:rPr>
          <w:rFonts w:ascii="Calibri" w:hAnsi="Calibri" w:eastAsia="Songti SC"/>
          <w:color w:val="000000"/>
        </w:rPr>
        <w:t>A signature identifies the declarant; tags may be copied and sensors manipulated. The physical contents and quality still require inspection. Tests inject duplicate identifiers, missing handovers, anomalous readings and collusion cases, reporting detection and false-positive rates and comparing ledger records with physical goods through independent sampling. Unobservable physical facts remain indeterminate.</w:t>
      </w:r>
    </w:p>
    <w:p>
      <w:pPr>
        <w:widowControl/>
      </w:pPr>
      <w:r>
        <w:rPr>
          <w:rFonts w:ascii="Calibri" w:hAnsi="Calibri" w:eastAsia="Songti SC"/>
          <w:color w:val="000000"/>
        </w:rPr>
        <w:t>Batch and handover objects carry logistics evidence; $RWAIX may support approved verification fees or node bonds, while payment for goods is settled separately. Tokenized interests used in receivables or inventory financing require separately defined instruments, debtors, security and transfer rules. Facility DCNFT rights documents cannot simply be reused for them.</w:t>
      </w:r>
    </w:p>
    <w:p>
      <w:pPr>
        <w:pStyle w:val="Heading2"/>
        <w:widowControl/>
      </w:pPr>
      <w:r>
        <w:rPr>
          <w:rFonts w:ascii="Calibri" w:hAnsi="Calibri" w:eastAsia="Songti SC"/>
          <w:color w:val="000000"/>
        </w:rPr>
        <w:t>18 5 AI Agents and Organizational Workflows</w:t>
      </w:r>
    </w:p>
    <w:p>
      <w:pPr>
        <w:widowControl/>
      </w:pPr>
      <w:r>
        <w:rPr>
          <w:rFonts w:ascii="Calibri" w:hAnsi="Calibri" w:eastAsia="Songti SC"/>
          <w:color w:val="000000"/>
        </w:rPr>
        <w:t>An organization delegates procurement, scheduling or approval submissions to an Agent. A TrustObject identifies the principal and task, and the evidence graph connects the delegation chain, tool permissions and business evidence. The policy evaluates a structured intent. Its receipt does not replace authority: the executor rechecks the payee, current status and shared budget, atomically reserves allowance, invokes the tool and appends an execution record.</w:t>
      </w:r>
    </w:p>
    <w:p>
      <w:pPr>
        <w:widowControl/>
      </w:pPr>
      <w:r>
        <w:rPr>
          <w:rFonts w:ascii="Calibri" w:hAnsi="Calibri" w:eastAsia="Songti SC"/>
          <w:color w:val="000000"/>
        </w:rPr>
        <w:t>External text cannot expand authority; subdelegation can only narrow it, and human approval binds to a specific intent. Tests apply prompt injection, concurrent transaction splitting and retries, checking that consumed allowance plus pending reservations stays within the limit and reporting unauthorized effects and human-review volume. A timeout enters OUTCOME_UNKNOWN, retains its reservation and awaits reconciliation; it must not be treated as confirmed failure, used to release the reservation, or resubmitted under a new key.</w:t>
      </w:r>
    </w:p>
    <w:p>
      <w:pPr>
        <w:widowControl/>
      </w:pPr>
      <w:r>
        <w:rPr>
          <w:rFonts w:ascii="Calibri" w:hAnsi="Calibri" w:eastAsia="Songti SC"/>
          <w:color w:val="000000"/>
        </w:rPr>
        <w:t>$RWAIX spending and other payment assets enter an Agent's budget separately. Any DCNFT subscription, transfer or bond lock requires a separate, explicit delegation. Service-orchestration authority does not automatically expand into investment, funds-management or voting authority.</w:t>
      </w:r>
    </w:p>
    <w:p>
      <w:pPr>
        <w:pStyle w:val="Heading2"/>
        <w:widowControl/>
      </w:pPr>
      <w:r>
        <w:rPr>
          <w:rFonts w:ascii="Calibri" w:hAnsi="Calibri" w:eastAsia="Songti SC"/>
          <w:color w:val="000000"/>
        </w:rPr>
        <w:t>18 6 Subsequent Compute Services and Facility Rights Expansion</w:t>
      </w:r>
    </w:p>
    <w:p>
      <w:pPr>
        <w:widowControl/>
      </w:pPr>
      <w:r>
        <w:rPr>
          <w:rFonts w:ascii="Calibri" w:hAnsi="Calibri" w:eastAsia="Songti SC"/>
          <w:color w:val="000000"/>
        </w:rPr>
        <w:t>As a subsequent extension, the compute use case tests the full path from objects and facts to execution. A facility NFT references the legal entity responsible for the facility and its versioned records; device objects reference device identities; service commitments reference resource reservations, workloads and acceptance policies. Delivery evidence forms an industry-specific ServiceReceipt, which a general policy incorporates into a TrustReceipt. The industry receipt and the general trust receipt serve distinct purposes; a general ALLOW result cannot replace actual verification of a compute result.</w:t>
      </w:r>
    </w:p>
    <w:p>
      <w:pPr>
        <w:widowControl/>
      </w:pPr>
      <w:r>
        <w:rPr>
          <w:rFonts w:ascii="Calibri" w:hAnsi="Calibri" w:eastAsia="Songti SC"/>
          <w:color w:val="000000"/>
        </w:rPr>
        <w:t>The customer submits resource, time, budget and verification requirements. The scheduler reserves capacity and generates a reservationId. A running attemptId links devices, workloads and observations. The verification service checks device attestation, execution evidence and customer acceptance under the policy. An authorized settlement adapter then processes payables or refunds. Resource reservations can constrain duplicate commitments only within the protocol's managed scope; the ledger alone cannot discover every instance of off-chain overselling.</w:t>
      </w:r>
    </w:p>
    <w:p>
      <w:pPr>
        <w:widowControl/>
      </w:pPr>
      <w:r>
        <w:rPr>
          <w:rFonts w:ascii="Calibri" w:hAnsi="Calibri" w:eastAsia="Songti SC"/>
          <w:color w:val="000000"/>
        </w:rPr>
        <w:t>Remote attestation addresses whether a device or execution environment meets explicit measurement conditions; it does not generally establish the semantic correctness of arbitrary AI outputs. Task correctness may require redundant computation, output sampling, verifiable computation or customer acceptance, with methods selected by task type and their costs disclosed. Integrating confidential computing with the universal trust protocol requires an explanation of proof coverage and the inputs still supplied by external parties. [S14]</w:t>
      </w:r>
    </w:p>
    <w:p>
      <w:pPr>
        <w:widowControl/>
      </w:pPr>
      <w:r>
        <w:rPr>
          <w:rFonts w:ascii="Calibri" w:hAnsi="Calibri" w:eastAsia="Songti SC"/>
          <w:color w:val="000000"/>
        </w:rPr>
        <w:t>Customer service funds and investment financing funds are controlled separately. For example, using the same asset and unit of account, a prepayment of 1000, an amount of 720 that has met payment conditions, including the agreed fees in this example, and a pending refund of 280 create only the corresponding payable and refund records. Approval does not mean that funds have been received, and it does not automatically create returns distributable to investors. Agent Link is responsible for project and technology operations; the facility SPV holds assets or lawful interests and raises financing; the local FacilityOp is responsible for on-site performance and its licensing obligations. This allocation of responsibilities is the proposed facility deployment structure, not a protocol requirement for every industry.</w:t>
      </w:r>
    </w:p>
    <w:p>
      <w:pPr>
        <w:widowControl/>
      </w:pPr>
      <w:r>
        <w:rPr>
          <w:rFonts w:ascii="Calibri" w:hAnsi="Calibri" w:eastAsia="Songti SC"/>
          <w:color w:val="000000"/>
        </w:rPr>
        <w:t>In the subsequent compute application, a DCNFT series carries only the interests expressly defined in the identified SPV's documents; customer compute orders exist independently. Under an approved configuration, $RWAIX may be used for network service fees, operator performance bonds or verified service incentives. Customer payments, Agent Link service compensation, SPV operating and debt payments, DCNFT distributions and network rewards are accounted for separately. Non-cash token receipts are not counted as cash available for facility distributions before the agreed conversion and cash reconciliation are complete.</w:t>
      </w:r>
    </w:p>
    <w:p>
      <w:pPr>
        <w:widowControl/>
      </w:pPr>
      <w:r>
        <w:rPr>
          <w:rFonts w:ascii="Calibri" w:hAnsi="Calibri" w:eastAsia="Songti SC"/>
          <w:color w:val="000000"/>
        </w:rPr>
        <w:t>The presence of a device does not prove saleable capacity, and signed telemetry does not prove correct computation. Performance and correctness are verified separately. A pilot fixes workloads and resource baselines, reporting task-acceptance error rates, discrepancies against independent metering, latency percentiles and dispute costs. Tests include failures, overselling and duplicate settlement; passing selected cases does not establish that every computation is verifiable.</w:t>
      </w:r>
    </w:p>
    <w:p>
      <w:pPr>
        <w:widowControl/>
      </w:pPr>
      <w:r>
        <w:rPr>
          <w:rFonts w:ascii="Calibri" w:hAnsi="Calibri" w:eastAsia="Songti SC"/>
          <w:color w:val="000000"/>
        </w:rPr>
        <w:t>This application tests cooperation between both instruments: DCNFT maps facility-series interests, while $RWAIX supports approved network economic functions. Linking identifiers connect service evidence, fees and series reports; each category of funds remains subject to its own contracts, sources and authorizations.</w:t>
      </w:r>
    </w:p>
    <w:p>
      <w:pPr>
        <w:pStyle w:val="Heading2"/>
        <w:widowControl/>
      </w:pPr>
      <w:r>
        <w:rPr>
          <w:rFonts w:ascii="Calibri" w:hAnsi="Calibri" w:eastAsia="Songti SC"/>
          <w:color w:val="000000"/>
        </w:rPr>
        <w:t>18 7 Devices Robots and Machine Services</w:t>
      </w:r>
    </w:p>
    <w:p>
      <w:pPr>
        <w:widowControl/>
      </w:pPr>
      <w:r>
        <w:rPr>
          <w:rFonts w:ascii="Calibri" w:hAnsi="Calibri" w:eastAsia="Songti SC"/>
          <w:color w:val="000000"/>
        </w:rPr>
        <w:t>A device operator provides inspection, handling or maintenance services to a customer. A TrustObject binds the device version and service commitment, while the evidence graph links maintenance qualifications, calibration, task logs and acceptance. The policy checks the requested purpose and operating scope. A separately authorized on-site adapter starts a permitted task only after current-authority and local safety checks pass, then submits completion evidence.</w:t>
      </w:r>
    </w:p>
    <w:p>
      <w:pPr>
        <w:widowControl/>
      </w:pPr>
      <w:r>
        <w:rPr>
          <w:rFonts w:ascii="Calibri" w:hAnsi="Calibri" w:eastAsia="Songti SC"/>
          <w:color w:val="000000"/>
        </w:rPr>
        <w:t>The protocol handles task-level authorization and audit. Emergency stops, real-time motion control and clinical or other safety-critical judgments remain in local systems with the appropriate safeguards; chain finality cannot replace safety mechanisms. Tests exercise network outages, lost communication, key compromise and duplicate commands, measuring unauthorized actions, time to stop on failure and log completeness. Thresholds follow the risk assessment for the specific device.</w:t>
      </w:r>
    </w:p>
    <w:p>
      <w:pPr>
        <w:widowControl/>
      </w:pPr>
      <w:r>
        <w:rPr>
          <w:rFonts w:ascii="Calibri" w:hAnsi="Calibri" w:eastAsia="Songti SC"/>
          <w:color w:val="000000"/>
        </w:rPr>
        <w:t>Devices and maintenance qualifications use their own NFT or credential types. Approved machine-service fees and node bonds can connect to the $RWAIX module. Device financing or income participation requires a separately designed instrument. Insufficient token balances must not prevent emergency stops, rescue or other necessary safety actions.</w:t>
      </w:r>
    </w:p>
    <w:p>
      <w:pPr>
        <w:pStyle w:val="Heading1"/>
        <w:widowControl/>
      </w:pPr>
      <w:r>
        <w:rPr>
          <w:rFonts w:ascii="Calibri" w:hAnsi="Calibri" w:eastAsia="Songti SC"/>
          <w:color w:val="000000"/>
        </w:rPr>
        <w:t>19 A Trusted Collaboration Path Across Applications</w:t>
      </w:r>
    </w:p>
    <w:p>
      <w:pPr>
        <w:widowControl/>
      </w:pPr>
      <w:r>
        <w:rPr>
          <w:rFonts w:ascii="Calibri" w:hAnsi="Calibri" w:eastAsia="Songti SC"/>
          <w:color w:val="000000"/>
        </w:rPr>
        <w:t>The following is a proposed cross-application extension after initial NFT validation, not a description of a live service. A design company presents credentials for its organizational qualifications, and its authorized designer presents credentials for their project role and authority. The relying party checks the issuer, subject binding, purpose and current status. A creator licenses specified versions of a collection of materials to the company solely for design generation within the agreed project, term and territory. The licence defines permitted uses of outputs and excludes sublicensing and model training. The materials' NFT references their versions and licence documents; it does not automatically transfer copyright. The company then delegates authority to an Agent with limits on tools, compute providers, tasks, duration and a budget inclusive of fees. The Agent may choose only processing paths permitted by the licence and submit tasks to an approved compute provider. After rechecking the licence, delegation chain and current status, the executor reserves shared budget capacity and binds the task, input digest and run identifier. Reuse across industries occurs through common object, evidence and authorization interfaces; qualifications, copyright and compute facts still require their own verification.</w:t>
      </w:r>
    </w:p>
    <w:p>
      <w:pPr>
        <w:widowControl/>
      </w:pPr>
      <w:r>
        <w:rPr>
          <w:rFonts w:ascii="Calibri" w:hAnsi="Calibri" w:eastAsia="Songti SC"/>
          <w:color w:val="000000"/>
        </w:rPr>
        <w:t>After processing, the system links the materials' versions, licence, model and configuration, execution evidence and output digest into a provenance record, producing a TrustReceipt under the policy. The receipt describes the relationship between evidence and rules; it does not establish originality, non-infringement or the correctness of AI outputs. Smart contracts cannot replace agreed sampling, human review and customer acceptance. Acceptance creates payable or refund records, while every movement of funds still requires separate approval by the authorized funds-control party, with payment and receipt of funds recorded separately. If the creator or company revokes a licence or delegation under the applicable agreement, new processing and uses within the protocol must be rechecked against the effective time and required status freshness rather than rely on an old receipt. Revocation does not automatically erase completed processing, historical evidence, output-use rights already in effect or prior payments, nor does it automatically discharge obligations already incurred. Deletion of copies and subsequent use of outputs follow the applicable licence and rules; the platform cannot guarantee prevention of misuse outside the protocol.</w:t>
      </w:r>
    </w:p>
    <w:p>
      <w:pPr>
        <w:widowControl/>
      </w:pPr>
      <w:r>
        <w:rPr>
          <w:rFonts w:ascii="Calibri" w:hAnsi="Calibri" w:eastAsia="Songti SC"/>
          <w:color w:val="000000"/>
        </w:rPr>
        <w:t>In the workflow above, customer service charges and network fees are quoted and reconciled separately. If $RWAIX is selected to pay approved network fees, the request binds a specific quote, payment asset, maximum debit and payee. Even where the compute facility has DCNFT investors, their rights depend solely on that facility's series documents and actual distributable cash. Licensor compensation, compute charges, network fees and node rewards are not automatically interchangeable and do not establish a fixed exchange relationship between DCNFT and $RWAIX.</w:t>
      </w:r>
    </w:p>
    <w:p>
      <w:pPr>
        <w:widowControl/>
      </w:pPr>
      <w:r>
        <w:rPr>
          <w:rFonts w:ascii="Calibri" w:hAnsi="Calibri" w:eastAsia="Songti SC"/>
          <w:color w:val="000000"/>
        </w:rPr>
        <w:t>When this example is recorded under the transaction reference specification, the contractual relationships among the company, creator and compute provider are each bound to a tradeId. Licensing, computation and network fees have separate obligationId values connected through linking fields. The Agent's parent budget constrains the sum of the subordinate obligations. Delivery of materials, computation results and customer acceptance each create a separate event. Partial acceptance creates a payable only for the accepted scope; a dispute preserves the evidence and amounts of the affected obligations rather than labeling the entire chain as wholly successful or wholly failed.</w:t>
      </w:r>
    </w:p>
    <w:p>
      <w:pPr>
        <w:pStyle w:val="Heading1"/>
        <w:widowControl/>
      </w:pPr>
      <w:r>
        <w:rPr>
          <w:rFonts w:ascii="Calibri" w:hAnsi="Calibri" w:eastAsia="Songti SC"/>
          <w:color w:val="000000"/>
        </w:rPr>
        <w:t>20 A Roadmap for Future Technology Evolution</w:t>
      </w:r>
    </w:p>
    <w:p>
      <w:pPr>
        <w:widowControl/>
      </w:pPr>
      <w:r>
        <w:rPr>
          <w:rFonts w:ascii="Calibri" w:hAnsi="Calibri" w:eastAsia="Songti SC"/>
          <w:color w:val="000000"/>
        </w:rPr>
        <w:t>The technology roadmap develops composable capabilities for collaboration. Near-term delivery focuses on selected standards and a functioning reference implementation; medium-term validation addresses collaboration across institutions, applications and different trust roots; long-term research explores stronger privacy, verifiable computation, edge autonomy and cryptographic migration. Stages are defined by evidence and entry conditions rather than preset dates promising capabilities that have not yet been implemented.</w:t>
      </w:r>
    </w:p>
    <w:p>
      <w:pPr>
        <w:widowControl/>
      </w:pPr>
      <w:r>
        <w:rPr>
          <w:rFonts w:ascii="Calibri" w:hAnsi="Calibri" w:eastAsia="Songti SC"/>
          <w:color w:val="000000"/>
        </w:rPr>
        <w:t>The company’s NFT transactions are the planned initial implementation entry point, with seven subsequent extension domains retained. Initial independent validation selects three profiles with identifiable responsible parties: NFT transactions; work provenance and licensing; and institutional qualifications and Agent delegation. Compute delivery follows in a later phase after its facility, metering, customer and funds conditions are established. Each new scenario identifies reused object, evidence and authority mechanisms before specifying additional domain observations and rules. Generality is tested by whether evidence can be transferred safely with few changes to the core.</w:t>
      </w:r>
    </w:p>
    <w:p>
      <w:pPr>
        <w:widowControl/>
      </w:pPr>
      <w:r>
        <w:rPr>
          <w:rFonts w:ascii="Calibri" w:hAnsi="Calibri" w:eastAsia="Songti SC"/>
          <w:color w:val="000000"/>
        </w:rPr>
        <w:t>Dual-token development follows the technical stages. The foundational stage uses test assets with no real funds to validate registration, fees and budget conservation. The pilot stage applies separate entry conditions to service launch, DCNFT issuance and $RWAIX distribution. Only the expansion stage evaluates additional asset types and networks. Unapproved supply, release or incentive parameters do not enter production. Scaling across applications depends on eligible services and external demand, rather than token appreciation or new funding used to subsidize earlier commitments.</w:t>
      </w:r>
    </w:p>
    <w:p>
      <w:pPr>
        <w:pStyle w:val="Heading2"/>
        <w:widowControl/>
      </w:pPr>
      <w:r>
        <w:rPr>
          <w:rFonts w:ascii="Calibri" w:hAnsi="Calibri" w:eastAsia="Songti SC"/>
          <w:color w:val="000000"/>
        </w:rPr>
        <w:t>20 1 Portable Identity and Continuously Checked Permissions</w:t>
      </w:r>
    </w:p>
    <w:p>
      <w:pPr>
        <w:widowControl/>
      </w:pPr>
      <w:r>
        <w:rPr>
          <w:rFonts w:ascii="Calibri" w:hAnsi="Calibri" w:eastAsia="Songti SC"/>
          <w:color w:val="000000"/>
        </w:rPr>
        <w:t>Moving from one-time verification to trust relationships that can be checked continuously requires connecting credential status, delegation chains, key recovery and authorization before execution. Near-term work fixes verifiable-credential and status profiles and supports identifiers separated by purpose; medium-term work tests issuance across institutions and independent verification. Long-term research examines combining proofs of qualifications without exposing the complete graph of identity relationships, while preserving revocation and traceable accountability. [S1–S3]</w:t>
      </w:r>
    </w:p>
    <w:p>
      <w:pPr>
        <w:pStyle w:val="Heading2"/>
        <w:widowControl/>
      </w:pPr>
      <w:r>
        <w:rPr>
          <w:rFonts w:ascii="Calibri" w:hAnsi="Calibri" w:eastAsia="Songti SC"/>
          <w:color w:val="000000"/>
        </w:rPr>
        <w:t>20 2 Privacy Preserving Evidence Composition</w:t>
      </w:r>
    </w:p>
    <w:p>
      <w:pPr>
        <w:widowControl/>
      </w:pPr>
      <w:r>
        <w:rPr>
          <w:rFonts w:ascii="Calibri" w:hAnsi="Calibri" w:eastAsia="Songti SC"/>
          <w:color w:val="000000"/>
        </w:rPr>
        <w:t>Minimum disclosure for a specified purpose is foundational; selective disclosure and zero-knowledge proofs apply to precisely defined propositions. Near-term work first implements minimum disclosure under a fixed credential suite and runs separate proofs of concept for bounded predicates such as qualification thresholds, licence scope and specified status. Additional proof suites enter deployment profiles only after passing tests. Medium-term work evaluates proof composition across issuers and correlation risks in status queries. Long-term research examines verifiable policy execution and lower-cost proof composition, measuring proof generation, verification, data availability and privacy leakage separately. Concealing inputs does not establish their truth. [S2–S3]</w:t>
      </w:r>
    </w:p>
    <w:p>
      <w:pPr>
        <w:pStyle w:val="Heading2"/>
        <w:widowControl/>
      </w:pPr>
      <w:r>
        <w:rPr>
          <w:rFonts w:ascii="Calibri" w:hAnsi="Calibri" w:eastAsia="Songti SC"/>
          <w:color w:val="000000"/>
        </w:rPr>
        <w:t>20 3 Constrained Collaboration Between People and Agents</w:t>
      </w:r>
    </w:p>
    <w:p>
      <w:pPr>
        <w:widowControl/>
      </w:pPr>
      <w:r>
        <w:rPr>
          <w:rFonts w:ascii="Calibri" w:hAnsi="Calibri" w:eastAsia="Songti SC"/>
          <w:color w:val="000000"/>
        </w:rPr>
        <w:t>The long-term role of Agents includes discovery, negotiation and execution, but their actions must be authorized by an identified principal. Near-term work uses short-lived capabilities, shared budgets, human approvals and durable idempotency records. Medium-term work tests subdelegation among multiple Agents and tasks across organizations, constraining expansion of authority through delegation layers and duplicate payments. Existing agent-transaction authorization protocols, including AP2, may be studied as adaptation targets using the authorization interfaces of an explicitly identified version. Any compatibility claim fixes the specific version and testing scope; signed authorization and actual transaction outcomes are verified separately. Delegation between Agents is a proposed RWAIX extension and is outside the scope of the current AP2 v0.2 specification. [S17]</w:t>
      </w:r>
    </w:p>
    <w:p>
      <w:pPr>
        <w:pStyle w:val="Heading2"/>
        <w:widowControl/>
      </w:pPr>
      <w:r>
        <w:rPr>
          <w:rFonts w:ascii="Calibri" w:hAnsi="Calibri" w:eastAsia="Songti SC"/>
          <w:color w:val="000000"/>
        </w:rPr>
        <w:t>20 4 Linking Provenance Across Content Data and Computation</w:t>
      </w:r>
    </w:p>
    <w:p>
      <w:pPr>
        <w:widowControl/>
      </w:pPr>
      <w:r>
        <w:rPr>
          <w:rFonts w:ascii="Calibri" w:hAnsi="Calibri" w:eastAsia="Songti SC"/>
          <w:color w:val="000000"/>
        </w:rPr>
        <w:t>For generative content and data collaboration, the protocol links input versions, licences, processing environments, output versions and acceptance records. Content-provenance standards can help record signed provenance and processing history, while models such as ODRL can express usage rules. Provenance records do not determine content truth or copyright ownership, and expressing rules does not automatically enforce data restrictions. Long-term research explores selectively disclosed provenance chains and verifiable processing while retaining independent judgments about data controllers, licences and task correctness. [S15–S16]</w:t>
      </w:r>
    </w:p>
    <w:p>
      <w:pPr>
        <w:pStyle w:val="Heading2"/>
        <w:widowControl/>
      </w:pPr>
      <w:r>
        <w:rPr>
          <w:rFonts w:ascii="Calibri" w:hAnsi="Calibri" w:eastAsia="Songti SC"/>
          <w:color w:val="000000"/>
        </w:rPr>
        <w:t>20 5 Physical Devices and Edge Collaboration</w:t>
      </w:r>
    </w:p>
    <w:p>
      <w:pPr>
        <w:widowControl/>
      </w:pPr>
      <w:r>
        <w:rPr>
          <w:rFonts w:ascii="Calibri" w:hAnsi="Calibri" w:eastAsia="Songti SC"/>
          <w:color w:val="000000"/>
        </w:rPr>
        <w:t>Machine services connect device control, maintenance qualifications, short-lived authority and operational evidence. Near-term work collects events through controlled device gateways; medium-term tests cover disconnection, key rotation, conflicting sensor readings and reconciliation after recovery. Offline authority must define acceptable status staleness, separately preallocated quotas and permitted actions. High-risk operations pause when sufficiently fresh status is unavailable. After connectivity returns, reconciliation precedes release or replenishment of quotas. On-chain protocols record commitments and authority and support subsequent verification; real-time safety interlocks remain in appropriately validated local control systems. The scope of remote attestation depends on the specific measurements and trust roots. [S14]</w:t>
      </w:r>
    </w:p>
    <w:p>
      <w:pPr>
        <w:pStyle w:val="Heading2"/>
        <w:widowControl/>
      </w:pPr>
      <w:r>
        <w:rPr>
          <w:rFonts w:ascii="Calibri" w:hAnsi="Calibri" w:eastAsia="Songti SC"/>
          <w:color w:val="000000"/>
        </w:rPr>
        <w:t>20 6 Cryptographic Agility and Long Term Verifiability</w:t>
      </w:r>
    </w:p>
    <w:p>
      <w:pPr>
        <w:widowControl/>
      </w:pPr>
      <w:r>
        <w:rPr>
          <w:rFonts w:ascii="Calibri" w:hAnsi="Calibri" w:eastAsia="Songti SC"/>
          <w:color w:val="000000"/>
        </w:rPr>
        <w:t>Long-lived identities, rights and evidence need to support migration between cryptographic schemes. Near-term work records proofSuite, keys and implementation versions while preserving historical verification materials. Medium-term work evaluates the message size, latency, and account and chain compatibility of new signature suites in test environments. Migration to post-quantum algorithms involves dependencies and lifecycles throughout the system and requires a migration plan based on the threat model and standards. Citing NIST standards or using a particular algorithm does not establish end-to-end quantum resistance for the system. [S18–S19]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512"/>
        <w:gridCol w:w="4536"/>
        <w:gridCol w:w="4032"/>
      </w:tblGrid>
      <w:tr>
        <w:trPr>
          <w:cantSplit/>
          <w:tblHeader/>
        </w:trPr>
        <w:tc>
          <w:tcPr>
            <w:tcW w:type="dxa" w:w="1512"/>
            <w:vAlign w:val="center"/>
            <w:shd w:fill="E7EDF2"/>
          </w:tcPr>
          <w:p>
            <w:pPr>
              <w:spacing w:after="0" w:before="0" w:line="259" w:lineRule="auto"/>
            </w:pPr>
            <w:r>
              <w:rPr>
                <w:rFonts w:ascii="Calibri" w:hAnsi="Calibri" w:eastAsia="Songti SC"/>
                <w:b/>
                <w:color w:val="000000"/>
                <w:sz w:val="20"/>
              </w:rPr>
              <w:t>Stage</w:t>
            </w:r>
          </w:p>
        </w:tc>
        <w:tc>
          <w:tcPr>
            <w:tcW w:type="dxa" w:w="4536"/>
            <w:vAlign w:val="center"/>
            <w:shd w:fill="E7EDF2"/>
          </w:tcPr>
          <w:p>
            <w:pPr>
              <w:spacing w:after="0" w:before="0" w:line="259" w:lineRule="auto"/>
            </w:pPr>
            <w:r>
              <w:rPr>
                <w:rFonts w:ascii="Calibri" w:hAnsi="Calibri" w:eastAsia="Songti SC"/>
                <w:b/>
                <w:color w:val="000000"/>
                <w:sz w:val="20"/>
              </w:rPr>
              <w:t>Deliverable Capabilities</w:t>
            </w:r>
          </w:p>
        </w:tc>
        <w:tc>
          <w:tcPr>
            <w:tcW w:type="dxa" w:w="4032"/>
            <w:vAlign w:val="center"/>
            <w:shd w:fill="E7EDF2"/>
          </w:tcPr>
          <w:p>
            <w:pPr>
              <w:spacing w:after="0" w:before="0" w:line="259" w:lineRule="auto"/>
            </w:pPr>
            <w:r>
              <w:rPr>
                <w:rFonts w:ascii="Calibri" w:hAnsi="Calibri" w:eastAsia="Songti SC"/>
                <w:b/>
                <w:color w:val="000000"/>
                <w:sz w:val="20"/>
              </w:rPr>
              <w:t>Basis for Advancing</w:t>
            </w:r>
          </w:p>
        </w:tc>
      </w:tr>
      <w:tr>
        <w:trPr>
          <w:cantSplit/>
        </w:trPr>
        <w:tc>
          <w:tcPr>
            <w:tcW w:type="dxa" w:w="1512"/>
            <w:vAlign w:val="center"/>
            <w:shd w:fill="FFFFFF"/>
          </w:tcPr>
          <w:p>
            <w:pPr>
              <w:spacing w:after="0" w:before="0" w:line="259" w:lineRule="auto"/>
            </w:pPr>
            <w:r>
              <w:rPr>
                <w:rFonts w:ascii="Calibri" w:hAnsi="Calibri" w:eastAsia="Songti SC"/>
                <w:color w:val="000000"/>
                <w:sz w:val="20"/>
              </w:rPr>
              <w:t>Core build</w:t>
            </w:r>
          </w:p>
        </w:tc>
        <w:tc>
          <w:tcPr>
            <w:tcW w:type="dxa" w:w="4536"/>
            <w:vAlign w:val="center"/>
            <w:shd w:fill="FFFFFF"/>
          </w:tcPr>
          <w:p>
            <w:pPr>
              <w:spacing w:after="0" w:before="0" w:line="259" w:lineRule="auto"/>
            </w:pPr>
            <w:r>
              <w:rPr>
                <w:rFonts w:ascii="Calibri" w:hAnsi="Calibri" w:eastAsia="Songti SC"/>
                <w:color w:val="000000"/>
                <w:sz w:val="20"/>
              </w:rPr>
              <w:t>Fixed schemas, NFT bindings, credential status, PolicyDecision, TrustReceipt and independent executors; two verification implementations</w:t>
            </w:r>
          </w:p>
        </w:tc>
        <w:tc>
          <w:tcPr>
            <w:tcW w:type="dxa" w:w="4032"/>
            <w:vAlign w:val="center"/>
            <w:shd w:fill="FFFFFF"/>
          </w:tcPr>
          <w:p>
            <w:pPr>
              <w:spacing w:after="0" w:before="0" w:line="259" w:lineRule="auto"/>
            </w:pPr>
            <w:r>
              <w:rPr>
                <w:rFonts w:ascii="Calibri" w:hAnsi="Calibri" w:eastAsia="Songti SC"/>
                <w:color w:val="000000"/>
                <w:sz w:val="20"/>
              </w:rPr>
              <w:t>Consistent test-vector results; specified cases of unauthorized action, replay and use after revocation are blocked; key-recovery and failure drills are complete</w:t>
            </w:r>
          </w:p>
        </w:tc>
      </w:tr>
      <w:tr>
        <w:trPr>
          <w:cantSplit/>
        </w:trPr>
        <w:tc>
          <w:tcPr>
            <w:tcW w:type="dxa" w:w="1512"/>
            <w:vAlign w:val="center"/>
            <w:shd w:fill="FFFFFF"/>
          </w:tcPr>
          <w:p>
            <w:pPr>
              <w:spacing w:after="0" w:before="0" w:line="259" w:lineRule="auto"/>
            </w:pPr>
            <w:r>
              <w:rPr>
                <w:rFonts w:ascii="Calibri" w:hAnsi="Calibri" w:eastAsia="Songti SC"/>
                <w:color w:val="000000"/>
                <w:sz w:val="20"/>
              </w:rPr>
              <w:t>Joint pilot</w:t>
            </w:r>
          </w:p>
        </w:tc>
        <w:tc>
          <w:tcPr>
            <w:tcW w:type="dxa" w:w="4536"/>
            <w:vAlign w:val="center"/>
            <w:shd w:fill="FFFFFF"/>
          </w:tcPr>
          <w:p>
            <w:pPr>
              <w:spacing w:after="0" w:before="0" w:line="259" w:lineRule="auto"/>
            </w:pPr>
            <w:r>
              <w:rPr>
                <w:rFonts w:ascii="Calibri" w:hAnsi="Calibri" w:eastAsia="Songti SC"/>
                <w:color w:val="000000"/>
                <w:sz w:val="20"/>
              </w:rPr>
              <w:t>Three profiles led by NFT transactions; independent institutions, minimal disclosure, shared budgets, evidence export and migration</w:t>
            </w:r>
          </w:p>
        </w:tc>
        <w:tc>
          <w:tcPr>
            <w:tcW w:type="dxa" w:w="4032"/>
            <w:vAlign w:val="center"/>
            <w:shd w:fill="FFFFFF"/>
          </w:tcPr>
          <w:p>
            <w:pPr>
              <w:spacing w:after="0" w:before="0" w:line="259" w:lineRule="auto"/>
            </w:pPr>
            <w:r>
              <w:rPr>
                <w:rFonts w:ascii="Calibri" w:hAnsi="Calibri" w:eastAsia="Songti SC"/>
                <w:color w:val="000000"/>
                <w:sz w:val="20"/>
              </w:rPr>
              <w:t>External parties can review results; reports cover privacy, failures, human intervention and end-to-end costs</w:t>
            </w:r>
          </w:p>
        </w:tc>
      </w:tr>
      <w:tr>
        <w:trPr>
          <w:cantSplit/>
        </w:trPr>
        <w:tc>
          <w:tcPr>
            <w:tcW w:type="dxa" w:w="1512"/>
            <w:vAlign w:val="center"/>
            <w:shd w:fill="FFFFFF"/>
          </w:tcPr>
          <w:p>
            <w:pPr>
              <w:spacing w:after="0" w:before="0" w:line="259" w:lineRule="auto"/>
            </w:pPr>
            <w:r>
              <w:rPr>
                <w:rFonts w:ascii="Calibri" w:hAnsi="Calibri" w:eastAsia="Songti SC"/>
                <w:color w:val="000000"/>
                <w:sz w:val="20"/>
              </w:rPr>
              <w:t>Extended research</w:t>
            </w:r>
          </w:p>
        </w:tc>
        <w:tc>
          <w:tcPr>
            <w:tcW w:type="dxa" w:w="4536"/>
            <w:vAlign w:val="center"/>
            <w:shd w:fill="FFFFFF"/>
          </w:tcPr>
          <w:p>
            <w:pPr>
              <w:spacing w:after="0" w:before="0" w:line="259" w:lineRule="auto"/>
            </w:pPr>
            <w:r>
              <w:rPr>
                <w:rFonts w:ascii="Calibri" w:hAnsi="Calibri" w:eastAsia="Songti SC"/>
                <w:color w:val="000000"/>
                <w:sz w:val="20"/>
              </w:rPr>
              <w:t>Extend to compute and remaining domains under their own conditions; study composed proofs, cross-domain authority, edge autonomy and cryptographic migration</w:t>
            </w:r>
          </w:p>
        </w:tc>
        <w:tc>
          <w:tcPr>
            <w:tcW w:type="dxa" w:w="4032"/>
            <w:vAlign w:val="center"/>
            <w:shd w:fill="FFFFFF"/>
          </w:tcPr>
          <w:p>
            <w:pPr>
              <w:spacing w:after="0" w:before="0" w:line="259" w:lineRule="auto"/>
            </w:pPr>
            <w:r>
              <w:rPr>
                <w:rFonts w:ascii="Calibri" w:hAnsi="Calibri" w:eastAsia="Songti SC"/>
                <w:color w:val="000000"/>
                <w:sz w:val="20"/>
              </w:rPr>
              <w:t>Security propositions, comparative experiments and applicability boundaries for each capability; deployment expands only after new capabilities pass review</w:t>
            </w:r>
          </w:p>
        </w:tc>
      </w:tr>
    </w:tbl>
    <w:p>
      <w:pPr>
        <w:widowControl/>
        <w:spacing w:after="20"/>
      </w:pPr>
    </w:p>
    <w:p>
      <w:pPr>
        <w:pStyle w:val="Heading1"/>
        <w:widowControl/>
      </w:pPr>
      <w:r>
        <w:rPr>
          <w:rFonts w:ascii="Calibri" w:hAnsi="Calibri" w:eastAsia="Songti SC"/>
          <w:color w:val="000000"/>
        </w:rPr>
        <w:t>21 Minimum Reference Implementation and Reviewable Deliverables</w:t>
      </w:r>
    </w:p>
    <w:p>
      <w:pPr>
        <w:widowControl/>
      </w:pPr>
      <w:r>
        <w:rPr>
          <w:rFonts w:ascii="Calibri" w:hAnsi="Calibri" w:eastAsia="Songti SC"/>
          <w:color w:val="000000"/>
        </w:rPr>
        <w:t>The minimum implementation uses one approved and selected smart-contract test network, one fixed signature and hash configuration, object-registration and state contracts, off-chain credential and evidence storage, a deterministic policy engine, an indexing service and exportable verification tools. The basic trust path is validated before adding cross-chain operations, complex zero-knowledge proofs and economic incentives, preventing the number of dependencies from obscuring core protocol issues.</w:t>
      </w:r>
    </w:p>
    <w:p>
      <w:pPr>
        <w:widowControl/>
      </w:pPr>
      <w:r>
        <w:rPr>
          <w:rFonts w:ascii="Calibri" w:hAnsi="Calibri" w:eastAsia="Songti SC"/>
          <w:color w:val="000000"/>
        </w:rPr>
        <w:t>Deliverables include protocol schemas, object and state contracts, a signature-domain specification, a reference verifier, policy rules and their test vectors, an adapter SDK, a deployment manifest and a recovery manual. The Policy engine executes constrained rules rather than arbitrary untrusted code, with defined resource budgets, dependency-depth limits, timeouts and treatment of unknown fields. A policy upgrade produces a new digest; issued receipts retain their original version.</w:t>
      </w:r>
    </w:p>
    <w:p>
      <w:pPr>
        <w:widowControl/>
      </w:pPr>
      <w:r>
        <w:rPr>
          <w:rFonts w:ascii="Calibri" w:hAnsi="Calibri" w:eastAsia="Songti SC"/>
          <w:color w:val="000000"/>
        </w:rPr>
        <w:t>Two independent verification implementations should be able to import the same authorized evidence package and, under the same snapshot and configuration, produce identical predicate results, conclusions and reason codes. Deidentified test vectors, expected outputs and failure cases can be published, while sensitive evidence uses equivalent verification procedures in a controlled environment. Publishing interface names or a demonstration video alone does not establish interoperability.</w:t>
      </w:r>
    </w:p>
    <w:p>
      <w:pPr>
        <w:widowControl/>
      </w:pPr>
      <w:r>
        <w:rPr>
          <w:rFonts w:ascii="Calibri" w:hAnsi="Calibri" w:eastAsia="Songti SC"/>
          <w:color w:val="000000"/>
        </w:rPr>
        <w:t>The reference flow is: resolve the object and version; validate context, challenge and deadline; verify credential signatures, issuer authority and subject bindings; resolve the status snapshot and evidence graph; evaluate the policy predicate by predicate; issue a TrustReceipt; and have an independent executor recheck authority and status before executing. Any missing mandatory condition produces an explicit denial or indeterminate result rather than automatically fabricating evidence.</w:t>
      </w:r>
    </w:p>
    <w:p>
      <w:pPr>
        <w:widowControl/>
      </w:pPr>
      <w:r>
        <w:rPr>
          <w:rFonts w:ascii="Calibri" w:hAnsi="Calibri" w:eastAsia="Songti SC"/>
          <w:color w:val="000000"/>
        </w:rPr>
        <w:t>The reference implementation adds proposed schemas for TokenRegistry, RightsBinding, FeeQuote, FeeReceipt, BondRecord and RewardClaim, each with permissions, state transitions and test vectors. The registry fixes network and asset identifiers; rights bindings reference series documents; fee modules distinguish quotes, reservations, payments and refunds; bond and reward modules distinguish eligibility, disputes, approval and completion. Business identifiers connect the three ledger categories, which can each be exported and reconciled independently.</w:t>
      </w:r>
    </w:p>
    <w:p>
      <w:pPr>
        <w:widowControl/>
      </w:pPr>
      <w:r>
        <w:rPr>
          <w:rFonts w:ascii="Calibri" w:hAnsi="Calibri" w:eastAsia="Songti SC"/>
          <w:color w:val="000000"/>
        </w:rPr>
        <w:t>Additional deliverables for the transaction specification include machine-readable schemas for TradeEnvelope, TradeEvent, AcceptanceRecord, DisputeRecord and ConformanceManifest, state-transition tables, an error-code dictionary, unit and precision rules, an extension registry and requirement-by-requirement test vectors. Field types, required fields and compatibility rules must be frozen before an interoperability candidate release. The field lists in this whitepaper are design contracts and do not substitute for these implementation materials.</w:t>
      </w:r>
    </w:p>
    <w:p>
      <w:pPr>
        <w:widowControl/>
      </w:pPr>
      <w:r>
        <w:rPr>
          <w:rFonts w:ascii="Calibri" w:hAnsi="Calibri" w:eastAsia="Songti SC"/>
          <w:color w:val="000000"/>
        </w:rPr>
        <w:t>The deliverable scope described above, including a test network, independent implementations and persistent services, remains a subsequent engineering target. The current prototype provided in Section 26 is limited to a single browser session. It performs actual SHA-256 hashing and ECDSA P-256 signature verification, but does not yet provide production persistence, multi-node concurrency, or connections to real chains and payment rails. It does not replace the complete implementation materials specified in this section.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520"/>
        <w:gridCol w:w="7560"/>
      </w:tblGrid>
      <w:tr>
        <w:trPr>
          <w:cantSplit/>
          <w:tblHeader/>
        </w:trPr>
        <w:tc>
          <w:tcPr>
            <w:tcW w:type="dxa" w:w="2520"/>
            <w:vAlign w:val="center"/>
            <w:shd w:fill="E7EDF2"/>
          </w:tcPr>
          <w:p>
            <w:pPr>
              <w:spacing w:after="0" w:before="0" w:line="259" w:lineRule="auto"/>
            </w:pPr>
            <w:r>
              <w:rPr>
                <w:rFonts w:ascii="Calibri" w:hAnsi="Calibri" w:eastAsia="Songti SC"/>
                <w:b/>
                <w:color w:val="000000"/>
                <w:sz w:val="20"/>
              </w:rPr>
              <w:t>Minimum Module</w:t>
            </w:r>
          </w:p>
        </w:tc>
        <w:tc>
          <w:tcPr>
            <w:tcW w:type="dxa" w:w="7560"/>
            <w:vAlign w:val="center"/>
            <w:shd w:fill="E7EDF2"/>
          </w:tcPr>
          <w:p>
            <w:pPr>
              <w:spacing w:after="0" w:before="0" w:line="259" w:lineRule="auto"/>
            </w:pPr>
            <w:r>
              <w:rPr>
                <w:rFonts w:ascii="Calibri" w:hAnsi="Calibri" w:eastAsia="Songti SC"/>
                <w:b/>
                <w:color w:val="000000"/>
                <w:sz w:val="20"/>
              </w:rPr>
              <w:t>Deliverables and Acceptance Scope</w:t>
            </w:r>
          </w:p>
        </w:tc>
      </w:tr>
      <w:tr>
        <w:trPr>
          <w:cantSplit/>
        </w:trPr>
        <w:tc>
          <w:tcPr>
            <w:tcW w:type="dxa" w:w="2520"/>
            <w:vAlign w:val="center"/>
            <w:shd w:fill="FFFFFF"/>
          </w:tcPr>
          <w:p>
            <w:pPr>
              <w:spacing w:after="0" w:before="0" w:line="259" w:lineRule="auto"/>
            </w:pPr>
            <w:r>
              <w:rPr>
                <w:rFonts w:ascii="Calibri" w:hAnsi="Calibri" w:eastAsia="Songti SC"/>
                <w:color w:val="000000"/>
                <w:sz w:val="20"/>
              </w:rPr>
              <w:t>Object and state contracts</w:t>
            </w:r>
          </w:p>
        </w:tc>
        <w:tc>
          <w:tcPr>
            <w:tcW w:type="dxa" w:w="7560"/>
            <w:vAlign w:val="center"/>
            <w:shd w:fill="FFFFFF"/>
          </w:tcPr>
          <w:p>
            <w:pPr>
              <w:spacing w:after="0" w:before="0" w:line="259" w:lineRule="auto"/>
            </w:pPr>
            <w:r>
              <w:rPr>
                <w:rFonts w:ascii="Calibri" w:hAnsi="Calibri" w:eastAsia="Songti SC"/>
                <w:color w:val="000000"/>
                <w:sz w:val="20"/>
              </w:rPr>
              <w:t>Registration, versions, bindings, suspension, revocation, events and a permission matrix</w:t>
            </w:r>
          </w:p>
        </w:tc>
      </w:tr>
      <w:tr>
        <w:trPr>
          <w:cantSplit/>
        </w:trPr>
        <w:tc>
          <w:tcPr>
            <w:tcW w:type="dxa" w:w="2520"/>
            <w:vAlign w:val="center"/>
            <w:shd w:fill="FFFFFF"/>
          </w:tcPr>
          <w:p>
            <w:pPr>
              <w:spacing w:after="0" w:before="0" w:line="259" w:lineRule="auto"/>
            </w:pPr>
            <w:r>
              <w:rPr>
                <w:rFonts w:ascii="Calibri" w:hAnsi="Calibri" w:eastAsia="Songti SC"/>
                <w:color w:val="000000"/>
                <w:sz w:val="20"/>
              </w:rPr>
              <w:t>Credential and evidence services</w:t>
            </w:r>
          </w:p>
        </w:tc>
        <w:tc>
          <w:tcPr>
            <w:tcW w:type="dxa" w:w="7560"/>
            <w:vAlign w:val="center"/>
            <w:shd w:fill="FFFFFF"/>
          </w:tcPr>
          <w:p>
            <w:pPr>
              <w:spacing w:after="0" w:before="0" w:line="259" w:lineRule="auto"/>
            </w:pPr>
            <w:r>
              <w:rPr>
                <w:rFonts w:ascii="Calibri" w:hAnsi="Calibri" w:eastAsia="Songti SC"/>
                <w:color w:val="000000"/>
                <w:sz w:val="20"/>
              </w:rPr>
              <w:t>Fixed schemas, evidence commitments, access controls, retention and status synchronization</w:t>
            </w:r>
          </w:p>
        </w:tc>
      </w:tr>
      <w:tr>
        <w:trPr>
          <w:cantSplit/>
        </w:trPr>
        <w:tc>
          <w:tcPr>
            <w:tcW w:type="dxa" w:w="2520"/>
            <w:vAlign w:val="center"/>
            <w:shd w:fill="FFFFFF"/>
          </w:tcPr>
          <w:p>
            <w:pPr>
              <w:spacing w:after="0" w:before="0" w:line="259" w:lineRule="auto"/>
            </w:pPr>
            <w:r>
              <w:rPr>
                <w:rFonts w:ascii="Calibri" w:hAnsi="Calibri" w:eastAsia="Songti SC"/>
                <w:color w:val="000000"/>
                <w:sz w:val="20"/>
              </w:rPr>
              <w:t>Policy and receipt tools</w:t>
            </w:r>
          </w:p>
        </w:tc>
        <w:tc>
          <w:tcPr>
            <w:tcW w:type="dxa" w:w="7560"/>
            <w:vAlign w:val="center"/>
            <w:shd w:fill="FFFFFF"/>
          </w:tcPr>
          <w:p>
            <w:pPr>
              <w:spacing w:after="0" w:before="0" w:line="259" w:lineRule="auto"/>
            </w:pPr>
            <w:r>
              <w:rPr>
                <w:rFonts w:ascii="Calibri" w:hAnsi="Calibri" w:eastAsia="Songti SC"/>
                <w:color w:val="000000"/>
                <w:sz w:val="20"/>
              </w:rPr>
              <w:t>Deterministic evaluation, dependency graphs, reason codes, replay and signature verification</w:t>
            </w:r>
          </w:p>
        </w:tc>
      </w:tr>
      <w:tr>
        <w:trPr>
          <w:cantSplit/>
        </w:trPr>
        <w:tc>
          <w:tcPr>
            <w:tcW w:type="dxa" w:w="2520"/>
            <w:vAlign w:val="center"/>
            <w:shd w:fill="FFFFFF"/>
          </w:tcPr>
          <w:p>
            <w:pPr>
              <w:spacing w:after="0" w:before="0" w:line="259" w:lineRule="auto"/>
            </w:pPr>
            <w:r>
              <w:rPr>
                <w:rFonts w:ascii="Calibri" w:hAnsi="Calibri" w:eastAsia="Songti SC"/>
                <w:color w:val="000000"/>
                <w:sz w:val="20"/>
              </w:rPr>
              <w:t>Collaboration and execution adapters</w:t>
            </w:r>
          </w:p>
        </w:tc>
        <w:tc>
          <w:tcPr>
            <w:tcW w:type="dxa" w:w="7560"/>
            <w:vAlign w:val="center"/>
            <w:shd w:fill="FFFFFF"/>
          </w:tcPr>
          <w:p>
            <w:pPr>
              <w:spacing w:after="0" w:before="0" w:line="259" w:lineRule="auto"/>
            </w:pPr>
            <w:r>
              <w:rPr>
                <w:rFonts w:ascii="Calibri" w:hAnsi="Calibri" w:eastAsia="Songti SC"/>
                <w:color w:val="000000"/>
                <w:sz w:val="20"/>
              </w:rPr>
              <w:t>Independent authorization, idempotency, cumulative budgets, reconciliation, timeouts and compensation</w:t>
            </w:r>
          </w:p>
        </w:tc>
      </w:tr>
      <w:tr>
        <w:trPr>
          <w:cantSplit/>
        </w:trPr>
        <w:tc>
          <w:tcPr>
            <w:tcW w:type="dxa" w:w="2520"/>
            <w:vAlign w:val="center"/>
            <w:shd w:fill="FFFFFF"/>
          </w:tcPr>
          <w:p>
            <w:pPr>
              <w:spacing w:after="0" w:before="0" w:line="259" w:lineRule="auto"/>
            </w:pPr>
            <w:r>
              <w:rPr>
                <w:rFonts w:ascii="Calibri" w:hAnsi="Calibri" w:eastAsia="Songti SC"/>
                <w:color w:val="000000"/>
                <w:sz w:val="20"/>
              </w:rPr>
              <w:t>Independent implementations and pilots</w:t>
            </w:r>
          </w:p>
        </w:tc>
        <w:tc>
          <w:tcPr>
            <w:tcW w:type="dxa" w:w="7560"/>
            <w:vAlign w:val="center"/>
            <w:shd w:fill="FFFFFF"/>
          </w:tcPr>
          <w:p>
            <w:pPr>
              <w:spacing w:after="0" w:before="0" w:line="259" w:lineRule="auto"/>
            </w:pPr>
            <w:r>
              <w:rPr>
                <w:rFonts w:ascii="Calibri" w:hAnsi="Calibri" w:eastAsia="Songti SC"/>
                <w:color w:val="000000"/>
                <w:sz w:val="20"/>
              </w:rPr>
              <w:t>Two verifiers; NFT transactions, work provenance/licensing, and institutional qualifications/Agents; adversarial tests and recovery drills</w:t>
            </w:r>
          </w:p>
        </w:tc>
      </w:tr>
    </w:tbl>
    <w:p>
      <w:pPr>
        <w:widowControl/>
        <w:spacing w:after="20"/>
      </w:pPr>
    </w:p>
    <w:p>
      <w:pPr>
        <w:pStyle w:val="Heading1"/>
        <w:widowControl/>
      </w:pPr>
      <w:r>
        <w:rPr>
          <w:rFonts w:ascii="Calibri" w:hAnsi="Calibri" w:eastAsia="Songti SC"/>
          <w:color w:val="000000"/>
        </w:rPr>
        <w:t>22 Experiments and Acceptance Criteria for Technical Advancement</w:t>
      </w:r>
    </w:p>
    <w:p>
      <w:pPr>
        <w:widowControl/>
      </w:pPr>
      <w:r>
        <w:rPr>
          <w:rFonts w:ascii="Calibri" w:hAnsi="Calibri" w:eastAsia="Songti SC"/>
          <w:color w:val="000000"/>
        </w:rPr>
        <w:t>Claims of technical advancement require baselines under comparable conditions. Comparators should include a centralized database with signed logs, a system directly combining NFTs and verifiable credentials, existing attestation solutions and industry implementations without a universal core. Comparisons should fix hardware, network, data volume, privacy level, evidence quality and security assumptions, counting issuance, verification, storage, status synchronization, chain fees, recovery and manual dispute handling in total cost.</w:t>
      </w:r>
    </w:p>
    <w:p>
      <w:pPr>
        <w:widowControl/>
      </w:pPr>
      <w:r>
        <w:rPr>
          <w:rFonts w:ascii="Calibri" w:hAnsi="Calibri" w:eastAsia="Songti SC"/>
          <w:color w:val="000000"/>
        </w:rPr>
        <w:t>Performance reports should present throughput, p50, p95 and p99 latency, failure rates, on-chain cost, client overhead and how these change as the evidence graph grows. Experimental versions, workloads, sample sizes and pass criteria are registered in advance, with raw results or equivalent independently verifiable records published. Complex proofs or verification by multiple parties may increase costs; reporting only favorable peak figures is insufficient.</w:t>
      </w:r>
    </w:p>
    <w:p>
      <w:pPr>
        <w:widowControl/>
      </w:pPr>
      <w:r>
        <w:rPr>
          <w:rFonts w:ascii="Calibri" w:hAnsi="Calibri" w:eastAsia="Songti SC"/>
          <w:color w:val="000000"/>
        </w:rPr>
        <w:t>The minimum security threshold is deterministic output consistency across the published test set; none of the specified cases involving invalid signatures, expiry, revocation, a wrong audience, replay or unauthorized actions may produce executable authorization; and failure states must not silently become acceptance. This threshold covers only the cases tested and does not guarantee the absence of unknown attacks. Fuzzing, state-machine property tests, independent security review and recovery drills jointly determine readiness for actual deployment.</w:t>
      </w:r>
    </w:p>
    <w:p>
      <w:pPr>
        <w:widowControl/>
      </w:pPr>
      <w:r>
        <w:rPr>
          <w:rFonts w:ascii="Calibri" w:hAnsi="Calibri" w:eastAsia="Songti SC"/>
          <w:color w:val="000000"/>
        </w:rPr>
        <w:t>Industry pilots should report which core modules the three profiles reuse, which components require customization, integration effort, verification errors and dispute-handling costs. Adoption across operators, successful evidence migration and successful replay after replacing a service provider are important subsequent measures of whether market structure can change. Reduced code volume or a successful integration demonstration does not directly establish market disruption.</w:t>
      </w:r>
    </w:p>
    <w:p>
      <w:pPr>
        <w:widowControl/>
      </w:pPr>
      <w:r>
        <w:rPr>
          <w:rFonts w:ascii="Calibri" w:hAnsi="Calibri" w:eastAsia="Songti SC"/>
          <w:color w:val="000000"/>
        </w:rPr>
        <w:t>Dual-token acceptance testing covers mismatches between fees and rights, incorrect contracts or precision, expired quotes, price jumps, concurrent overspending, unknown payment outcomes, duplicate rewards, unauthorized penalties and duplicate bridge supply. Reports cover balance and supply conservation per asset, register consistency, budget use, penalty appeals and service costs without reward subsidies. Tests also examine lawful access paths for users who hold neither instrument, checking that the economic modules do not incorrectly block open participation.</w:t>
      </w:r>
    </w:p>
    <w:p>
      <w:pPr>
        <w:widowControl/>
      </w:pPr>
      <w:r>
        <w:rPr>
          <w:rFonts w:ascii="Calibri" w:hAnsi="Calibri" w:eastAsia="Songti SC"/>
          <w:color w:val="000000"/>
        </w:rPr>
        <w:t>Acceptance testing for the transaction reference specification combines the rule tests in Section 5 with exchange between implementations. Reports should identify the specification version, profile, implementation role, passing and failing vectors, unsupported extensions and dependencies on external facts. Business performance, transaction correctness, legal review and economic sustainability receive separate conclusions. A verifier passing its tests does not certify the entire operating organization, its token issuance or every commercial transaction.</w:t>
      </w:r>
    </w:p>
    <w:p>
      <w:pPr>
        <w:widowControl/>
      </w:pPr>
      <w:r>
        <w:rPr>
          <w:rFonts w:ascii="Calibri" w:hAnsi="Calibri" w:eastAsia="Songti SC"/>
          <w:color w:val="000000"/>
        </w:rPr>
        <w:t>The operating guide in Section 26 provides repeatable normal workflows and fault checks. Each formal release records the code version, browser environment, cases actually executed and their outputs. Local state checks, independent interoperability and production acceptance are reported separately. Displaying a mapping to N01–N10 does not confer conformance certification.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160"/>
        <w:gridCol w:w="4032"/>
        <w:gridCol w:w="3888"/>
      </w:tblGrid>
      <w:tr>
        <w:trPr>
          <w:cantSplit/>
          <w:tblHeader/>
        </w:trPr>
        <w:tc>
          <w:tcPr>
            <w:tcW w:type="dxa" w:w="2160"/>
            <w:vAlign w:val="center"/>
            <w:shd w:fill="E7EDF2"/>
          </w:tcPr>
          <w:p>
            <w:pPr>
              <w:spacing w:after="0" w:before="0" w:line="259" w:lineRule="auto"/>
            </w:pPr>
            <w:r>
              <w:rPr>
                <w:rFonts w:ascii="Calibri" w:hAnsi="Calibri" w:eastAsia="Songti SC"/>
                <w:b/>
                <w:color w:val="000000"/>
                <w:sz w:val="20"/>
              </w:rPr>
              <w:t>Research Hypothesis</w:t>
            </w:r>
          </w:p>
        </w:tc>
        <w:tc>
          <w:tcPr>
            <w:tcW w:type="dxa" w:w="4032"/>
            <w:vAlign w:val="center"/>
            <w:shd w:fill="E7EDF2"/>
          </w:tcPr>
          <w:p>
            <w:pPr>
              <w:spacing w:after="0" w:before="0" w:line="259" w:lineRule="auto"/>
            </w:pPr>
            <w:r>
              <w:rPr>
                <w:rFonts w:ascii="Calibri" w:hAnsi="Calibri" w:eastAsia="Songti SC"/>
                <w:b/>
                <w:color w:val="000000"/>
                <w:sz w:val="20"/>
              </w:rPr>
              <w:t>Experimental Design</w:t>
            </w:r>
          </w:p>
        </w:tc>
        <w:tc>
          <w:tcPr>
            <w:tcW w:type="dxa" w:w="3888"/>
            <w:vAlign w:val="center"/>
            <w:shd w:fill="E7EDF2"/>
          </w:tcPr>
          <w:p>
            <w:pPr>
              <w:spacing w:after="0" w:before="0" w:line="259" w:lineRule="auto"/>
            </w:pPr>
            <w:r>
              <w:rPr>
                <w:rFonts w:ascii="Calibri" w:hAnsi="Calibri" w:eastAsia="Songti SC"/>
                <w:b/>
                <w:color w:val="000000"/>
                <w:sz w:val="20"/>
              </w:rPr>
              <w:t>Results to Report</w:t>
            </w:r>
          </w:p>
        </w:tc>
      </w:tr>
      <w:tr>
        <w:trPr>
          <w:cantSplit/>
        </w:trPr>
        <w:tc>
          <w:tcPr>
            <w:tcW w:type="dxa" w:w="2160"/>
            <w:vAlign w:val="center"/>
            <w:shd w:fill="FFFFFF"/>
          </w:tcPr>
          <w:p>
            <w:pPr>
              <w:spacing w:after="0" w:before="0" w:line="259" w:lineRule="auto"/>
            </w:pPr>
            <w:r>
              <w:rPr>
                <w:rFonts w:ascii="Calibri" w:hAnsi="Calibri" w:eastAsia="Songti SC"/>
                <w:color w:val="000000"/>
                <w:sz w:val="20"/>
              </w:rPr>
              <w:t>Receipts can be checked across implementations</w:t>
            </w:r>
          </w:p>
        </w:tc>
        <w:tc>
          <w:tcPr>
            <w:tcW w:type="dxa" w:w="4032"/>
            <w:vAlign w:val="center"/>
            <w:shd w:fill="FFFFFF"/>
          </w:tcPr>
          <w:p>
            <w:pPr>
              <w:spacing w:after="0" w:before="0" w:line="259" w:lineRule="auto"/>
            </w:pPr>
            <w:r>
              <w:rPr>
                <w:rFonts w:ascii="Calibri" w:hAnsi="Calibri" w:eastAsia="Songti SC"/>
                <w:color w:val="000000"/>
                <w:sz w:val="20"/>
              </w:rPr>
              <w:t>Two independent implementations run the same valid and invalid vectors</w:t>
            </w:r>
          </w:p>
        </w:tc>
        <w:tc>
          <w:tcPr>
            <w:tcW w:type="dxa" w:w="3888"/>
            <w:vAlign w:val="center"/>
            <w:shd w:fill="FFFFFF"/>
          </w:tcPr>
          <w:p>
            <w:pPr>
              <w:spacing w:after="0" w:before="0" w:line="259" w:lineRule="auto"/>
            </w:pPr>
            <w:r>
              <w:rPr>
                <w:rFonts w:ascii="Calibri" w:hAnsi="Calibri" w:eastAsia="Songti SC"/>
                <w:color w:val="000000"/>
                <w:sz w:val="20"/>
              </w:rPr>
              <w:t>Predicate-level agreement, reasons for differences and unsupported cases</w:t>
            </w:r>
          </w:p>
        </w:tc>
      </w:tr>
      <w:tr>
        <w:trPr>
          <w:cantSplit/>
        </w:trPr>
        <w:tc>
          <w:tcPr>
            <w:tcW w:type="dxa" w:w="2160"/>
            <w:vAlign w:val="center"/>
            <w:shd w:fill="FFFFFF"/>
          </w:tcPr>
          <w:p>
            <w:pPr>
              <w:spacing w:after="0" w:before="0" w:line="259" w:lineRule="auto"/>
            </w:pPr>
            <w:r>
              <w:rPr>
                <w:rFonts w:ascii="Calibri" w:hAnsi="Calibri" w:eastAsia="Songti SC"/>
                <w:color w:val="000000"/>
                <w:sz w:val="20"/>
              </w:rPr>
              <w:t>Revocation constrains subsequent execution</w:t>
            </w:r>
          </w:p>
        </w:tc>
        <w:tc>
          <w:tcPr>
            <w:tcW w:type="dxa" w:w="4032"/>
            <w:vAlign w:val="center"/>
            <w:shd w:fill="FFFFFF"/>
          </w:tcPr>
          <w:p>
            <w:pPr>
              <w:spacing w:after="0" w:before="0" w:line="259" w:lineRule="auto"/>
            </w:pPr>
            <w:r>
              <w:rPr>
                <w:rFonts w:ascii="Calibri" w:hAnsi="Calibri" w:eastAsia="Songti SC"/>
                <w:color w:val="000000"/>
                <w:sz w:val="20"/>
              </w:rPr>
              <w:t>Inject revocations, cache delays, chain reorganizations and concurrent execution</w:t>
            </w:r>
          </w:p>
        </w:tc>
        <w:tc>
          <w:tcPr>
            <w:tcW w:type="dxa" w:w="3888"/>
            <w:vAlign w:val="center"/>
            <w:shd w:fill="FFFFFF"/>
          </w:tcPr>
          <w:p>
            <w:pPr>
              <w:spacing w:after="0" w:before="0" w:line="259" w:lineRule="auto"/>
            </w:pPr>
            <w:r>
              <w:rPr>
                <w:rFonts w:ascii="Calibri" w:hAnsi="Calibri" w:eastAsia="Songti SC"/>
                <w:color w:val="000000"/>
                <w:sz w:val="20"/>
              </w:rPr>
              <w:t>Erroneous-authorization windows, pause behavior and residual risk</w:t>
            </w:r>
          </w:p>
        </w:tc>
      </w:tr>
      <w:tr>
        <w:trPr>
          <w:cantSplit/>
        </w:trPr>
        <w:tc>
          <w:tcPr>
            <w:tcW w:type="dxa" w:w="2160"/>
            <w:vAlign w:val="center"/>
            <w:shd w:fill="FFFFFF"/>
          </w:tcPr>
          <w:p>
            <w:pPr>
              <w:spacing w:after="0" w:before="0" w:line="259" w:lineRule="auto"/>
            </w:pPr>
            <w:r>
              <w:rPr>
                <w:rFonts w:ascii="Calibri" w:hAnsi="Calibri" w:eastAsia="Songti SC"/>
                <w:color w:val="000000"/>
                <w:sz w:val="20"/>
              </w:rPr>
              <w:t>Evidence graphs improve dependency identification</w:t>
            </w:r>
          </w:p>
        </w:tc>
        <w:tc>
          <w:tcPr>
            <w:tcW w:type="dxa" w:w="4032"/>
            <w:vAlign w:val="center"/>
            <w:shd w:fill="FFFFFF"/>
          </w:tcPr>
          <w:p>
            <w:pPr>
              <w:spacing w:after="0" w:before="0" w:line="259" w:lineRule="auto"/>
            </w:pPr>
            <w:r>
              <w:rPr>
                <w:rFonts w:ascii="Calibri" w:hAnsi="Calibri" w:eastAsia="Songti SC"/>
                <w:color w:val="000000"/>
                <w:sz w:val="20"/>
              </w:rPr>
              <w:t>Insert cycles, republication from common sources and known common-control relationships</w:t>
            </w:r>
          </w:p>
        </w:tc>
        <w:tc>
          <w:tcPr>
            <w:tcW w:type="dxa" w:w="3888"/>
            <w:vAlign w:val="center"/>
            <w:shd w:fill="FFFFFF"/>
          </w:tcPr>
          <w:p>
            <w:pPr>
              <w:spacing w:after="0" w:before="0" w:line="259" w:lineRule="auto"/>
            </w:pPr>
            <w:r>
              <w:rPr>
                <w:rFonts w:ascii="Calibri" w:hAnsi="Calibri" w:eastAsia="Songti SC"/>
                <w:color w:val="000000"/>
                <w:sz w:val="20"/>
              </w:rPr>
              <w:t>Detection rates, false-positive rates, limits on detecting hidden collusion and overhead</w:t>
            </w:r>
          </w:p>
        </w:tc>
      </w:tr>
      <w:tr>
        <w:trPr>
          <w:cantSplit/>
        </w:trPr>
        <w:tc>
          <w:tcPr>
            <w:tcW w:type="dxa" w:w="2160"/>
            <w:vAlign w:val="center"/>
            <w:shd w:fill="FFFFFF"/>
          </w:tcPr>
          <w:p>
            <w:pPr>
              <w:spacing w:after="0" w:before="0" w:line="259" w:lineRule="auto"/>
            </w:pPr>
            <w:r>
              <w:rPr>
                <w:rFonts w:ascii="Calibri" w:hAnsi="Calibri" w:eastAsia="Songti SC"/>
                <w:color w:val="000000"/>
                <w:sz w:val="20"/>
              </w:rPr>
              <w:t>Privacy preserves verifiability</w:t>
            </w:r>
          </w:p>
        </w:tc>
        <w:tc>
          <w:tcPr>
            <w:tcW w:type="dxa" w:w="4032"/>
            <w:vAlign w:val="center"/>
            <w:shd w:fill="FFFFFF"/>
          </w:tcPr>
          <w:p>
            <w:pPr>
              <w:spacing w:after="0" w:before="0" w:line="259" w:lineRule="auto"/>
            </w:pPr>
            <w:r>
              <w:rPr>
                <w:rFonts w:ascii="Calibri" w:hAnsi="Calibri" w:eastAsia="Songti SC"/>
                <w:color w:val="000000"/>
                <w:sz w:val="20"/>
              </w:rPr>
              <w:t>Compare full disclosure, minimal disclosure and selected proof configurations</w:t>
            </w:r>
          </w:p>
        </w:tc>
        <w:tc>
          <w:tcPr>
            <w:tcW w:type="dxa" w:w="3888"/>
            <w:vAlign w:val="center"/>
            <w:shd w:fill="FFFFFF"/>
          </w:tcPr>
          <w:p>
            <w:pPr>
              <w:spacing w:after="0" w:before="0" w:line="259" w:lineRule="auto"/>
            </w:pPr>
            <w:r>
              <w:rPr>
                <w:rFonts w:ascii="Calibri" w:hAnsi="Calibri" w:eastAsia="Songti SC"/>
                <w:color w:val="000000"/>
                <w:sz w:val="20"/>
              </w:rPr>
              <w:t>Disclosed fields, linkability, computation and status-query costs</w:t>
            </w:r>
          </w:p>
        </w:tc>
      </w:tr>
      <w:tr>
        <w:trPr>
          <w:cantSplit/>
        </w:trPr>
        <w:tc>
          <w:tcPr>
            <w:tcW w:type="dxa" w:w="2160"/>
            <w:vAlign w:val="center"/>
            <w:shd w:fill="FFFFFF"/>
          </w:tcPr>
          <w:p>
            <w:pPr>
              <w:spacing w:after="0" w:before="0" w:line="259" w:lineRule="auto"/>
            </w:pPr>
            <w:r>
              <w:rPr>
                <w:rFonts w:ascii="Calibri" w:hAnsi="Calibri" w:eastAsia="Songti SC"/>
                <w:color w:val="000000"/>
                <w:sz w:val="20"/>
              </w:rPr>
              <w:t>The core is reusable across industries</w:t>
            </w:r>
          </w:p>
        </w:tc>
        <w:tc>
          <w:tcPr>
            <w:tcW w:type="dxa" w:w="4032"/>
            <w:vAlign w:val="center"/>
            <w:shd w:fill="FFFFFF"/>
          </w:tcPr>
          <w:p>
            <w:pPr>
              <w:spacing w:after="0" w:before="0" w:line="259" w:lineRule="auto"/>
            </w:pPr>
            <w:r>
              <w:rPr>
                <w:rFonts w:ascii="Calibri" w:hAnsi="Calibri" w:eastAsia="Songti SC"/>
                <w:color w:val="000000"/>
                <w:sz w:val="20"/>
              </w:rPr>
              <w:t>Three profiles use the same lifecycle and receipt interfaces</w:t>
            </w:r>
          </w:p>
        </w:tc>
        <w:tc>
          <w:tcPr>
            <w:tcW w:type="dxa" w:w="3888"/>
            <w:vAlign w:val="center"/>
            <w:shd w:fill="FFFFFF"/>
          </w:tcPr>
          <w:p>
            <w:pPr>
              <w:spacing w:after="0" w:before="0" w:line="259" w:lineRule="auto"/>
            </w:pPr>
            <w:r>
              <w:rPr>
                <w:rFonts w:ascii="Calibri" w:hAnsi="Calibri" w:eastAsia="Songti SC"/>
                <w:color w:val="000000"/>
                <w:sz w:val="20"/>
              </w:rPr>
              <w:t>Core changes, adaptation effort, defects and governance differences</w:t>
            </w:r>
          </w:p>
        </w:tc>
      </w:tr>
      <w:tr>
        <w:trPr>
          <w:cantSplit/>
        </w:trPr>
        <w:tc>
          <w:tcPr>
            <w:tcW w:type="dxa" w:w="2160"/>
            <w:vAlign w:val="center"/>
            <w:shd w:fill="FFFFFF"/>
          </w:tcPr>
          <w:p>
            <w:pPr>
              <w:spacing w:after="0" w:before="0" w:line="259" w:lineRule="auto"/>
            </w:pPr>
            <w:r>
              <w:rPr>
                <w:rFonts w:ascii="Calibri" w:hAnsi="Calibri" w:eastAsia="Songti SC"/>
                <w:color w:val="000000"/>
                <w:sz w:val="20"/>
              </w:rPr>
              <w:t>Agent safety enables greater automation</w:t>
            </w:r>
          </w:p>
        </w:tc>
        <w:tc>
          <w:tcPr>
            <w:tcW w:type="dxa" w:w="4032"/>
            <w:vAlign w:val="center"/>
            <w:shd w:fill="FFFFFF"/>
          </w:tcPr>
          <w:p>
            <w:pPr>
              <w:spacing w:after="0" w:before="0" w:line="259" w:lineRule="auto"/>
            </w:pPr>
            <w:r>
              <w:rPr>
                <w:rFonts w:ascii="Calibri" w:hAnsi="Calibri" w:eastAsia="Songti SC"/>
                <w:color w:val="000000"/>
                <w:sz w:val="20"/>
              </w:rPr>
              <w:t>Adversarial tests for prompt injection, concurrent budgets, retries and replay</w:t>
            </w:r>
          </w:p>
        </w:tc>
        <w:tc>
          <w:tcPr>
            <w:tcW w:type="dxa" w:w="3888"/>
            <w:vAlign w:val="center"/>
            <w:shd w:fill="FFFFFF"/>
          </w:tcPr>
          <w:p>
            <w:pPr>
              <w:spacing w:after="0" w:before="0" w:line="259" w:lineRule="auto"/>
            </w:pPr>
            <w:r>
              <w:rPr>
                <w:rFonts w:ascii="Calibri" w:hAnsi="Calibri" w:eastAsia="Songti SC"/>
                <w:color w:val="000000"/>
                <w:sz w:val="20"/>
              </w:rPr>
              <w:t>Unauthorized execution, budget conservation, human-review volume and latency</w:t>
            </w:r>
          </w:p>
        </w:tc>
      </w:tr>
    </w:tbl>
    <w:p>
      <w:pPr>
        <w:widowControl/>
        <w:spacing w:after="20"/>
      </w:pPr>
    </w:p>
    <w:p>
      <w:pPr>
        <w:pStyle w:val="Heading1"/>
        <w:widowControl/>
      </w:pPr>
      <w:r>
        <w:rPr>
          <w:rFonts w:ascii="Calibri" w:hAnsi="Calibri" w:eastAsia="Songti SC"/>
          <w:color w:val="000000"/>
        </w:rPr>
        <w:t>23 Incorporating Company Technology and Deployment Responsibilities</w:t>
      </w:r>
    </w:p>
    <w:p>
      <w:pPr>
        <w:widowControl/>
      </w:pPr>
      <w:r>
        <w:rPr>
          <w:rFonts w:ascii="Calibri" w:hAnsi="Calibri" w:eastAsia="Songti SC"/>
          <w:color w:val="000000"/>
        </w:rPr>
        <w:t>The project plans to use the company’s disclosed NFT business as its first implementation use case, with Agent Link Tech Ltd undertaking project and technology work under valid authority. The management discussion for the first half of 2026 attributes operation of the existing NFT platform to Metaverse HK; this does not establish that Agent Link operates that platform or that RWAIX is integrated in production. Before integration, verify platform and contracting entities, interface permissions, modules and code versions, contract addresses, licences and IP ownership, security reviews and interface gaps. Operating an NFT business or having a listed-company affiliation does not establish ownership of the universal trust core described here. [S34–S35]</w:t>
      </w:r>
    </w:p>
    <w:p>
      <w:pPr>
        <w:widowControl/>
      </w:pPr>
      <w:r>
        <w:rPr>
          <w:rFonts w:ascii="Calibri" w:hAnsi="Calibri" w:eastAsia="Songti SC"/>
          <w:color w:val="000000"/>
        </w:rPr>
        <w:t>This version defines a proposed technical specification and validation plan. Existing company components may be listed as reusable modules once verifiable version and ownership evidence is supplied. New TrustContext, TrustReceipt, evidence-graph, lifecycle-policy and adapter components are disclosed individually by development status. Production deployment, performance advantages, patent originality and global leadership each require their own evidence; the protocol's vision cannot substitute for it.</w:t>
      </w:r>
    </w:p>
    <w:p>
      <w:pPr>
        <w:widowControl/>
      </w:pPr>
      <w:r>
        <w:rPr>
          <w:rFonts w:ascii="Calibri" w:hAnsi="Calibri" w:eastAsia="Songti SC"/>
          <w:color w:val="000000"/>
        </w:rPr>
        <w:t>For the initial NFT pilot, the actual platform operator, seller or licensor, customer, technology provider and payment provider retain their respective contractual and authorization responsibilities. Agent Link does not automatically acquire existing customer relationships, customer funds or licensing rights. Later compute deployment continues to distinguish Agent Link, the facility SPV and local FacilityOp; other domains identify parties by their factual, contractual, licensing and data responsibilities. Technical administration does not automatically create issuer qualifications, legal agency, asset rights or authority to dispose of funds.</w:t>
      </w:r>
    </w:p>
    <w:p>
      <w:pPr>
        <w:widowControl/>
      </w:pPr>
      <w:r>
        <w:rPr>
          <w:rFonts w:ascii="Calibri" w:hAnsi="Calibri" w:eastAsia="Songti SC"/>
          <w:color w:val="000000"/>
        </w:rPr>
        <w:t>The dual-token design does not merge legal entities or responsibilities. The obligations of a DCNFT series are proposed to be assumed by a verified and duly authorized facility SPV under the offering route and series documents applicable and approved at that time. The issuer of $RWAIX, legal owner of its treasury, distribution routes and management authority are determined separately; technology operations do not automatically assign these roles to Agent Link. This version retains the candidate supply budget from v3.3 as a design input, without creating a sale, allocation or return commitment. Legal and implementation materials are synchronized separately to the current version and remain subject to professional finalization based on actual entities, authority and transaction facts; historical v3.3 files are retained as version evidence. A general TrustObject does not reclassify DCNFT's proposed investment character or recast existing investment interests as ordinary evidence.</w:t>
      </w:r>
    </w:p>
    <w:p>
      <w:pPr>
        <w:widowControl/>
      </w:pPr>
      <w:r>
        <w:rPr>
          <w:rFonts w:ascii="Calibri" w:hAnsi="Calibri" w:eastAsia="Songti SC"/>
          <w:color w:val="000000"/>
        </w:rPr>
        <w:t>DCNFT and $RWAIX must each be classified through analysis of their specific rights, sale and operating arrangements, rather than by NFT, utility or governance labels. The parent's listing or project disclosures do not replace the issuance conditions for either instrument, and protocol votes do not replace valid company or SPV authority. Version mappings keep technical specifications, economic parameters and legal documents consistent; applicable arrangements are reassessed after material changes. [S20–S21]</w:t>
      </w:r>
    </w:p>
    <w:p>
      <w:pPr>
        <w:widowControl/>
      </w:pPr>
      <w:r>
        <w:rPr>
          <w:rFonts w:ascii="Calibri" w:hAnsi="Calibri" w:eastAsia="Songti SC"/>
          <w:color w:val="000000"/>
        </w:rPr>
        <w:t>Once the necessary ownership rights and authority have been established, Agent Link may organize reference implementations, test packages and pilot operations. Responsibilities for protocol maintenance, independent assessment and dispute handling should be disclosed separately. Facility SPVs bear the rights and obligations defined in their documents; a technical specification does not replace participants' corporate authority or statutory responsibilities. Adoption by industry participants does not automatically give Agent Link control over their assets, customer relationships or commercial decisions.</w:t>
      </w:r>
    </w:p>
    <w:p>
      <w:pPr>
        <w:widowControl/>
      </w:pPr>
      <w:r>
        <w:rPr>
          <w:rFonts w:ascii="Calibri" w:hAnsi="Calibri" w:eastAsia="Songti SC"/>
          <w:color w:val="000000"/>
        </w:rPr>
        <w:t>The industry measures and billing assumptions in Section 25 are not revenue or cash flow of Agent Link, a facility SPV or the listed parent, and do not promise DCNFT distributions or $RWAIX value. Actual contracts must identify the service provider, delivery responsibilities, intellectual-property rights and receiving accounts. Parent-level reporting also requires consolidation and elimination of intercompany transactions under the applicable accounting rules. The demonstration in Section 26 creates no token issuance, asset transfer or authority to dispose of real funds.</w:t>
      </w:r>
    </w:p>
    <w:p>
      <w:pPr>
        <w:pStyle w:val="Heading1"/>
        <w:widowControl/>
      </w:pPr>
      <w:r>
        <w:rPr>
          <w:rFonts w:ascii="Calibri" w:hAnsi="Calibri" w:eastAsia="Songti SC"/>
          <w:color w:val="000000"/>
        </w:rPr>
        <w:t>24 Open Evolution and the Path to Industry Adoption</w:t>
      </w:r>
    </w:p>
    <w:p>
      <w:pPr>
        <w:widowControl/>
      </w:pPr>
      <w:r>
        <w:rPr>
          <w:rFonts w:ascii="Calibri" w:hAnsi="Calibri" w:eastAsia="Songti SC"/>
          <w:color w:val="000000"/>
        </w:rPr>
        <w:t>RWAIX's standardization objective is to establish shared transaction rules that multiple parties can implement, mutually recognize and maintain over time. The proposed stages are a reference-specification proposal, a frozen interoperability candidate, public testing and independent implementations, limited industry pilots, and progression through an appropriate standards organization's process after actual adoption. Each stage discloses its scope, issues and exit criteria. Meeting a technical threshold does not automatically confer standards status or regulatory recognition.</w:t>
      </w:r>
    </w:p>
    <w:p>
      <w:pPr>
        <w:widowControl/>
      </w:pPr>
      <w:r>
        <w:rPr>
          <w:rFonts w:ascii="Calibri" w:hAnsi="Calibri" w:eastAsia="Songti SC"/>
          <w:color w:val="000000"/>
        </w:rPr>
        <w:t>Specification changes should produce version records through public proposals, issue discussion, impact analysis, test evidence and explicit maintainer decisions. Material semantic changes enter a new version with published transition periods and migration methods. Security issues may justify emergency pauses with retained audit records. A governance charter defines maintainer composition, conflicts of interest, appeals and decision-making authority. Agent Link's initial maintenance role should not be described as governance authority already accepted by every industry participant. The principles of due process, consensus, transparency, balance and voluntary adoption described in RFC 6852 may inform governance design. That document is Informational and does not confer standardization authority on RWAIX. [S27]</w:t>
      </w:r>
    </w:p>
    <w:p>
      <w:pPr>
        <w:widowControl/>
      </w:pPr>
      <w:r>
        <w:rPr>
          <w:rFonts w:ascii="Calibri" w:hAnsi="Calibri" w:eastAsia="Songti SC"/>
          <w:color w:val="000000"/>
        </w:rPr>
        <w:t>$RWAIX's limited parameter governance operates under its approved rules. Token votes do not automatically determine specification conformance, assessment conclusions, corporate authority or DCNFT investor rights. Standardization work, management of economic parameters and governance of facility contracts use separate decision and change records. Testing and verification services should disclose their scope and fees. Legally qualified implementers may build alternative services under approved licences, avoiding the purchase of tokens as a route to technical certification.</w:t>
      </w:r>
    </w:p>
    <w:p>
      <w:pPr>
        <w:widowControl/>
      </w:pPr>
      <w:r>
        <w:rPr>
          <w:rFonts w:ascii="Calibri" w:hAnsi="Calibri" w:eastAsia="Songti SC"/>
          <w:color w:val="000000"/>
        </w:rPr>
        <w:t>Validation of commercial adoption should compare integration time, total verification and dispute costs per transaction, successful evidence migration, engineering effort to replace a service provider and the number of independent operators. Proposed revenue sources may include deployment, hosting, adaptation, verification and support services; actual charges must correspond to delivered services and contracts. Facility financing is arranged separately under DCNFT documents, while demand for $RWAIX is tested through actual network services. Continued protocol operations must not be premised on token appreciation or continually increasing subsidies.</w:t>
      </w:r>
    </w:p>
    <w:p>
      <w:pPr>
        <w:widowControl/>
      </w:pPr>
      <w:r>
        <w:rPr>
          <w:rFonts w:ascii="Calibri" w:hAnsi="Calibri" w:eastAsia="Songti SC"/>
          <w:color w:val="000000"/>
        </w:rPr>
        <w:t>The next deliverables for industry participation are a versioned specification and test package that external implementers can try, together with a public interoperability report containing both successful and failed cases. Whether the protocol is world-class should be judged by comparative evidence of performance, security, privacy, portability and adoption by multiple parties. The long-term vision continues to guide development; standards status is established through actual governance and adoption processes.</w:t>
      </w:r>
    </w:p>
    <w:p>
      <w:pPr>
        <w:widowControl/>
      </w:pPr>
      <w:r>
        <w:rPr>
          <w:rFonts w:ascii="Calibri" w:hAnsi="Calibri" w:eastAsia="Songti SC"/>
          <w:color w:val="000000"/>
        </w:rPr>
        <w:t>Sections 25 and 26 connect the adoption path to testable commercial assumptions and an interactive prototype. The sequence is to establish which delivered services users will pay for, compare total integration, verification, dispute and migration costs, and then advance independent implementations and limited pilots. Industry scale describes the demand environment; the prototype describes the current executable scope. Neither replaces evidence of adoption by multiple parties or a standards organization’s process.</w:t>
      </w:r>
    </w:p>
    <w:p>
      <w:pPr>
        <w:pStyle w:val="Heading1"/>
        <w:widowControl/>
      </w:pPr>
      <w:r>
        <w:rPr>
          <w:rFonts w:ascii="Calibri" w:hAnsi="Calibri" w:eastAsia="Songti SC"/>
          <w:color w:val="000000"/>
        </w:rPr>
        <w:t>25 Future Industry Scale and Verifiable Commercial Pathways</w:t>
      </w:r>
    </w:p>
    <w:p>
      <w:pPr>
        <w:widowControl/>
      </w:pPr>
      <w:r>
        <w:rPr>
          <w:rFonts w:ascii="Calibri" w:hAnsi="Calibri" w:eastAsia="Songti SC"/>
          <w:color w:val="000000"/>
        </w:rPr>
        <w:t>The expansion of digital commerce is reflected in digital transactions, investment in cloud and AI, growth in machine services and demand for trusted identity access. RWAIX’s commercial proposition is to provide technical services for collaborations with defined parties, contracts and evidence requirements; it does not automatically charge every related transaction. The following indicators help identify validation scenarios and customer problems, while retaining their observation years, forecast status and coverage.</w:t>
      </w:r>
    </w:p>
    <w:p>
      <w:pPr>
        <w:widowControl/>
      </w:pPr>
      <w:r>
        <w:rPr>
          <w:rFonts w:ascii="Calibri" w:hAnsi="Calibri" w:eastAsia="Songti SC"/>
          <w:color w:val="000000"/>
        </w:rPr>
        <w:t>Industry transaction values, purchasing expenditure, equipment counts and identity-coverage gaps are different measures and cannot be combined into one total market. Revenue earned by industry participants from goods, licences, data or compute also cannot be directly converted into protocol revenue, parent-company cash flow, distributable facility cash or token value. Commercial opportunities must be tied to actual service buyers, contractual units, delivery capacity and verifiable billing events.</w:t>
      </w:r>
    </w:p>
    <w:p>
      <w:pPr>
        <w:pStyle w:val="Heading2"/>
        <w:widowControl/>
      </w:pPr>
      <w:r>
        <w:rPr>
          <w:rFonts w:ascii="Calibri" w:hAnsi="Calibri" w:eastAsia="Songti SC"/>
          <w:color w:val="000000"/>
        </w:rPr>
        <w:t>25 1 Sourced Industry Context</w:t>
      </w:r>
    </w:p>
    <w:p>
      <w:pPr>
        <w:widowControl/>
      </w:pPr>
      <w:r>
        <w:rPr>
          <w:rFonts w:ascii="Calibri" w:hAnsi="Calibri" w:eastAsia="Songti SC"/>
          <w:color w:val="000000"/>
        </w:rPr>
        <w:t>The table uses source versions verifiable as of this edition’s information date. Historical estimates may be revised, and institutional forecasts are not future outturns. No uniform tax, exchange-rate or constant-price basis is assumed where it is not disclosed. Digital services, e-commerce, cloud and AI measures overlap, as may the identity gaps; none are added together. [S28–S33]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088"/>
        <w:gridCol w:w="3528"/>
        <w:gridCol w:w="4464"/>
      </w:tblGrid>
      <w:tr>
        <w:trPr>
          <w:cantSplit/>
          <w:tblHeader/>
        </w:trPr>
        <w:tc>
          <w:tcPr>
            <w:tcW w:type="dxa" w:w="2088"/>
            <w:vAlign w:val="center"/>
            <w:shd w:fill="E7EDF2"/>
          </w:tcPr>
          <w:p>
            <w:pPr>
              <w:spacing w:after="0" w:before="0" w:line="259" w:lineRule="auto"/>
            </w:pPr>
            <w:r>
              <w:rPr>
                <w:rFonts w:ascii="Calibri" w:hAnsi="Calibri" w:eastAsia="Songti SC"/>
                <w:b/>
                <w:color w:val="000000"/>
                <w:sz w:val="20"/>
              </w:rPr>
              <w:t>Indicator and Source</w:t>
            </w:r>
          </w:p>
        </w:tc>
        <w:tc>
          <w:tcPr>
            <w:tcW w:type="dxa" w:w="3528"/>
            <w:vAlign w:val="center"/>
            <w:shd w:fill="E7EDF2"/>
          </w:tcPr>
          <w:p>
            <w:pPr>
              <w:spacing w:after="0" w:before="0" w:line="259" w:lineRule="auto"/>
            </w:pPr>
            <w:r>
              <w:rPr>
                <w:rFonts w:ascii="Calibri" w:hAnsi="Calibri" w:eastAsia="Songti SC"/>
                <w:b/>
                <w:color w:val="000000"/>
                <w:sz w:val="20"/>
              </w:rPr>
              <w:t>Value, Year and Status</w:t>
            </w:r>
          </w:p>
        </w:tc>
        <w:tc>
          <w:tcPr>
            <w:tcW w:type="dxa" w:w="4464"/>
            <w:vAlign w:val="center"/>
            <w:shd w:fill="E7EDF2"/>
          </w:tcPr>
          <w:p>
            <w:pPr>
              <w:spacing w:after="0" w:before="0" w:line="259" w:lineRule="auto"/>
            </w:pPr>
            <w:r>
              <w:rPr>
                <w:rFonts w:ascii="Calibri" w:hAnsi="Calibri" w:eastAsia="Songti SC"/>
                <w:b/>
                <w:color w:val="000000"/>
                <w:sz w:val="20"/>
              </w:rPr>
              <w:t>Scope and Interpretation</w:t>
            </w:r>
          </w:p>
        </w:tc>
      </w:tr>
      <w:tr>
        <w:trPr>
          <w:cantSplit/>
        </w:trPr>
        <w:tc>
          <w:tcPr>
            <w:tcW w:type="dxa" w:w="2088"/>
            <w:vAlign w:val="center"/>
            <w:shd w:fill="FFFFFF"/>
          </w:tcPr>
          <w:p>
            <w:pPr>
              <w:spacing w:after="0" w:before="0" w:line="259" w:lineRule="auto"/>
            </w:pPr>
            <w:r>
              <w:rPr>
                <w:rFonts w:ascii="Calibri" w:hAnsi="Calibri" w:eastAsia="Songti SC"/>
                <w:color w:val="000000"/>
                <w:sz w:val="20"/>
              </w:rPr>
              <w:t>Digitally delivered service exports [S28]</w:t>
            </w:r>
          </w:p>
        </w:tc>
        <w:tc>
          <w:tcPr>
            <w:tcW w:type="dxa" w:w="3528"/>
            <w:vAlign w:val="center"/>
            <w:shd w:fill="FFFFFF"/>
          </w:tcPr>
          <w:p>
            <w:pPr>
              <w:spacing w:after="0" w:before="0" w:line="259" w:lineRule="auto"/>
            </w:pPr>
            <w:r>
              <w:rPr>
                <w:rFonts w:ascii="Calibri" w:hAnsi="Calibri" w:eastAsia="Songti SC"/>
                <w:color w:val="000000"/>
                <w:sz w:val="20"/>
              </w:rPr>
              <w:t>About US$5.27 trillion in 2025; WTO historical estimate revised in July 2026</w:t>
            </w:r>
          </w:p>
        </w:tc>
        <w:tc>
          <w:tcPr>
            <w:tcW w:type="dxa" w:w="4464"/>
            <w:vAlign w:val="center"/>
            <w:shd w:fill="FFFFFF"/>
          </w:tcPr>
          <w:p>
            <w:pPr>
              <w:spacing w:after="0" w:before="0" w:line="259" w:lineRule="auto"/>
            </w:pPr>
            <w:r>
              <w:rPr>
                <w:rFonts w:ascii="Calibri" w:hAnsi="Calibri" w:eastAsia="Songti SC"/>
                <w:color w:val="000000"/>
                <w:sz w:val="20"/>
              </w:rPr>
              <w:t>Worldwide cross-border digitally delivered services, excluding the full range of domestic transactions; not all e-commerce or blockchain transactions.</w:t>
            </w:r>
          </w:p>
        </w:tc>
      </w:tr>
      <w:tr>
        <w:trPr>
          <w:cantSplit/>
        </w:trPr>
        <w:tc>
          <w:tcPr>
            <w:tcW w:type="dxa" w:w="2088"/>
            <w:vAlign w:val="center"/>
            <w:shd w:fill="FFFFFF"/>
          </w:tcPr>
          <w:p>
            <w:pPr>
              <w:spacing w:after="0" w:before="0" w:line="259" w:lineRule="auto"/>
            </w:pPr>
            <w:r>
              <w:rPr>
                <w:rFonts w:ascii="Calibri" w:hAnsi="Calibri" w:eastAsia="Songti SC"/>
                <w:color w:val="000000"/>
                <w:sz w:val="20"/>
              </w:rPr>
              <w:t>Business e-commerce [S29]</w:t>
            </w:r>
          </w:p>
        </w:tc>
        <w:tc>
          <w:tcPr>
            <w:tcW w:type="dxa" w:w="3528"/>
            <w:vAlign w:val="center"/>
            <w:shd w:fill="FFFFFF"/>
          </w:tcPr>
          <w:p>
            <w:pPr>
              <w:spacing w:after="0" w:before="0" w:line="259" w:lineRule="auto"/>
            </w:pPr>
            <w:r>
              <w:rPr>
                <w:rFonts w:ascii="Calibri" w:hAnsi="Calibri" w:eastAsia="Songti SC"/>
                <w:color w:val="000000"/>
                <w:sz w:val="20"/>
              </w:rPr>
              <w:t>About US$28 trillion in 2024; UNCTAD update of May 2026</w:t>
            </w:r>
          </w:p>
        </w:tc>
        <w:tc>
          <w:tcPr>
            <w:tcW w:type="dxa" w:w="4464"/>
            <w:vAlign w:val="center"/>
            <w:shd w:fill="FFFFFF"/>
          </w:tcPr>
          <w:p>
            <w:pPr>
              <w:spacing w:after="0" w:before="0" w:line="259" w:lineRule="auto"/>
            </w:pPr>
            <w:r>
              <w:rPr>
                <w:rFonts w:ascii="Calibri" w:hAnsi="Calibri" w:eastAsia="Songti SC"/>
                <w:color w:val="000000"/>
                <w:sz w:val="20"/>
              </w:rPr>
              <w:t>Business sales in 45 economies, defined by digital ordering; current prices and differing tax bases, not worldwide protocol-service revenue.</w:t>
            </w:r>
          </w:p>
        </w:tc>
      </w:tr>
      <w:tr>
        <w:trPr>
          <w:cantSplit/>
        </w:trPr>
        <w:tc>
          <w:tcPr>
            <w:tcW w:type="dxa" w:w="2088"/>
            <w:vAlign w:val="center"/>
            <w:shd w:fill="FFFFFF"/>
          </w:tcPr>
          <w:p>
            <w:pPr>
              <w:spacing w:after="0" w:before="0" w:line="259" w:lineRule="auto"/>
            </w:pPr>
            <w:r>
              <w:rPr>
                <w:rFonts w:ascii="Calibri" w:hAnsi="Calibri" w:eastAsia="Songti SC"/>
                <w:color w:val="000000"/>
                <w:sz w:val="20"/>
              </w:rPr>
              <w:t>Public cloud services [S30]</w:t>
            </w:r>
          </w:p>
        </w:tc>
        <w:tc>
          <w:tcPr>
            <w:tcW w:type="dxa" w:w="3528"/>
            <w:vAlign w:val="center"/>
            <w:shd w:fill="FFFFFF"/>
          </w:tcPr>
          <w:p>
            <w:pPr>
              <w:spacing w:after="0" w:before="0" w:line="259" w:lineRule="auto"/>
            </w:pPr>
            <w:r>
              <w:rPr>
                <w:rFonts w:ascii="Calibri" w:hAnsi="Calibri" w:eastAsia="Songti SC"/>
                <w:color w:val="000000"/>
                <w:sz w:val="20"/>
              </w:rPr>
              <w:t>Above US$1 trillion in 2026; IDC forecast of March 2026</w:t>
            </w:r>
          </w:p>
        </w:tc>
        <w:tc>
          <w:tcPr>
            <w:tcW w:type="dxa" w:w="4464"/>
            <w:vAlign w:val="center"/>
            <w:shd w:fill="FFFFFF"/>
          </w:tcPr>
          <w:p>
            <w:pPr>
              <w:spacing w:after="0" w:before="0" w:line="259" w:lineRule="auto"/>
            </w:pPr>
            <w:r>
              <w:rPr>
                <w:rFonts w:ascii="Calibri" w:hAnsi="Calibri" w:eastAsia="Songti SC"/>
                <w:color w:val="000000"/>
                <w:sz w:val="20"/>
              </w:rPr>
              <w:t>Worldwide spending on SaaS, PaaS, IaaS and other categories; not wholly GPU compute or trusted-transaction service budgets.</w:t>
            </w:r>
          </w:p>
        </w:tc>
      </w:tr>
      <w:tr>
        <w:trPr>
          <w:cantSplit/>
        </w:trPr>
        <w:tc>
          <w:tcPr>
            <w:tcW w:type="dxa" w:w="2088"/>
            <w:vAlign w:val="center"/>
            <w:shd w:fill="FFFFFF"/>
          </w:tcPr>
          <w:p>
            <w:pPr>
              <w:spacing w:after="0" w:before="0" w:line="259" w:lineRule="auto"/>
            </w:pPr>
            <w:r>
              <w:rPr>
                <w:rFonts w:ascii="Calibri" w:hAnsi="Calibri" w:eastAsia="Songti SC"/>
                <w:color w:val="000000"/>
                <w:sz w:val="20"/>
              </w:rPr>
              <w:t>AI-related IT spending [S31]</w:t>
            </w:r>
          </w:p>
        </w:tc>
        <w:tc>
          <w:tcPr>
            <w:tcW w:type="dxa" w:w="3528"/>
            <w:vAlign w:val="center"/>
            <w:shd w:fill="FFFFFF"/>
          </w:tcPr>
          <w:p>
            <w:pPr>
              <w:spacing w:after="0" w:before="0" w:line="259" w:lineRule="auto"/>
            </w:pPr>
            <w:r>
              <w:rPr>
                <w:rFonts w:ascii="Calibri" w:hAnsi="Calibri" w:eastAsia="Songti SC"/>
                <w:color w:val="000000"/>
                <w:sz w:val="20"/>
              </w:rPr>
              <w:t>About US$1.3 trillion in 2029; IDC forecast of August 2025</w:t>
            </w:r>
          </w:p>
        </w:tc>
        <w:tc>
          <w:tcPr>
            <w:tcW w:type="dxa" w:w="4464"/>
            <w:vAlign w:val="center"/>
            <w:shd w:fill="FFFFFF"/>
          </w:tcPr>
          <w:p>
            <w:pPr>
              <w:spacing w:after="0" w:before="0" w:line="259" w:lineRule="auto"/>
            </w:pPr>
            <w:r>
              <w:rPr>
                <w:rFonts w:ascii="Calibri" w:hAnsi="Calibri" w:eastAsia="Songti SC"/>
                <w:color w:val="000000"/>
                <w:sz w:val="20"/>
              </w:rPr>
              <w:t>Applications, infrastructure and services; not a standalone Agent-protocol market, and overlapping with cloud expenditure.</w:t>
            </w:r>
          </w:p>
        </w:tc>
      </w:tr>
      <w:tr>
        <w:trPr>
          <w:cantSplit/>
        </w:trPr>
        <w:tc>
          <w:tcPr>
            <w:tcW w:type="dxa" w:w="2088"/>
            <w:vAlign w:val="center"/>
            <w:shd w:fill="FFFFFF"/>
          </w:tcPr>
          <w:p>
            <w:pPr>
              <w:spacing w:after="0" w:before="0" w:line="259" w:lineRule="auto"/>
            </w:pPr>
            <w:r>
              <w:rPr>
                <w:rFonts w:ascii="Calibri" w:hAnsi="Calibri" w:eastAsia="Songti SC"/>
                <w:color w:val="000000"/>
                <w:sz w:val="20"/>
              </w:rPr>
              <w:t>Industrial robots [S32]</w:t>
            </w:r>
          </w:p>
        </w:tc>
        <w:tc>
          <w:tcPr>
            <w:tcW w:type="dxa" w:w="3528"/>
            <w:vAlign w:val="center"/>
            <w:shd w:fill="FFFFFF"/>
          </w:tcPr>
          <w:p>
            <w:pPr>
              <w:spacing w:after="0" w:before="0" w:line="259" w:lineRule="auto"/>
            </w:pPr>
            <w:r>
              <w:rPr>
                <w:rFonts w:ascii="Calibri" w:hAnsi="Calibri" w:eastAsia="Songti SC"/>
                <w:color w:val="000000"/>
                <w:sz w:val="20"/>
              </w:rPr>
              <w:t>About 5 million in operation in 2025; forecast annual installations of 806,000 in 2029</w:t>
            </w:r>
          </w:p>
        </w:tc>
        <w:tc>
          <w:tcPr>
            <w:tcW w:type="dxa" w:w="4464"/>
            <w:vAlign w:val="center"/>
            <w:shd w:fill="FFFFFF"/>
          </w:tcPr>
          <w:p>
            <w:pPr>
              <w:spacing w:after="0" w:before="0" w:line="259" w:lineRule="auto"/>
            </w:pPr>
            <w:r>
              <w:rPr>
                <w:rFonts w:ascii="Calibri" w:hAnsi="Calibri" w:eastAsia="Songti SC"/>
                <w:color w:val="000000"/>
                <w:sz w:val="20"/>
              </w:rPr>
              <w:t>Published by IFR in September 2026; the first is a stock and the second an annual flow. They cannot be added or directly converted into paying customers.</w:t>
            </w:r>
          </w:p>
        </w:tc>
      </w:tr>
      <w:tr>
        <w:trPr>
          <w:cantSplit/>
        </w:trPr>
        <w:tc>
          <w:tcPr>
            <w:tcW w:type="dxa" w:w="2088"/>
            <w:vAlign w:val="center"/>
            <w:shd w:fill="FFFFFF"/>
          </w:tcPr>
          <w:p>
            <w:pPr>
              <w:spacing w:after="0" w:before="0" w:line="259" w:lineRule="auto"/>
            </w:pPr>
            <w:r>
              <w:rPr>
                <w:rFonts w:ascii="Calibri" w:hAnsi="Calibri" w:eastAsia="Songti SC"/>
                <w:color w:val="000000"/>
                <w:sz w:val="20"/>
              </w:rPr>
              <w:t>Identity-access gaps [S33]</w:t>
            </w:r>
          </w:p>
        </w:tc>
        <w:tc>
          <w:tcPr>
            <w:tcW w:type="dxa" w:w="3528"/>
            <w:vAlign w:val="center"/>
            <w:shd w:fill="FFFFFF"/>
          </w:tcPr>
          <w:p>
            <w:pPr>
              <w:spacing w:after="0" w:before="0" w:line="259" w:lineRule="auto"/>
            </w:pPr>
            <w:r>
              <w:rPr>
                <w:rFonts w:ascii="Calibri" w:hAnsi="Calibri" w:eastAsia="Songti SC"/>
                <w:color w:val="000000"/>
                <w:sz w:val="20"/>
              </w:rPr>
              <w:t>2025 ID4D edition, mainly 2024 observations: about 800 million without official ID; at least 2.8 billion without government-recognized online digital identity</w:t>
            </w:r>
          </w:p>
        </w:tc>
        <w:tc>
          <w:tcPr>
            <w:tcW w:type="dxa" w:w="4464"/>
            <w:vAlign w:val="center"/>
            <w:shd w:fill="FFFFFF"/>
          </w:tcPr>
          <w:p>
            <w:pPr>
              <w:spacing w:after="0" w:before="0" w:line="259" w:lineRule="auto"/>
            </w:pPr>
            <w:r>
              <w:rPr>
                <w:rFonts w:ascii="Calibri" w:hAnsi="Calibri" w:eastAsia="Songti SC"/>
                <w:color w:val="000000"/>
                <w:sz w:val="20"/>
              </w:rPr>
              <w:t>World Bank coverage-gap estimates, not separate additive populations or a forecast of paying users. A wallet does not automatically provide legal identity.</w:t>
            </w:r>
          </w:p>
        </w:tc>
      </w:tr>
    </w:tbl>
    <w:p>
      <w:pPr>
        <w:widowControl/>
        <w:spacing w:after="20"/>
      </w:pPr>
    </w:p>
    <w:p>
      <w:pPr>
        <w:pStyle w:val="Heading2"/>
        <w:widowControl/>
      </w:pPr>
      <w:r>
        <w:rPr>
          <w:rFonts w:ascii="Calibri" w:hAnsi="Calibri" w:eastAsia="Songti SC"/>
          <w:color w:val="000000"/>
        </w:rPr>
        <w:t>25 2 From Addressable Scope to Annual Billing Assumptions</w:t>
      </w:r>
    </w:p>
    <w:p>
      <w:pPr>
        <w:widowControl/>
      </w:pPr>
      <w:r>
        <w:rPr>
          <w:rFonts w:ascii="Calibri" w:hAnsi="Calibri" w:eastAsia="Songti SC"/>
          <w:color w:val="000000"/>
        </w:rPr>
        <w:t>TAM should mean qualified buyers and billable units with demand for a specified technical service within a fixed geography, period and service scope. SAM narrows that scope to the intersection of current product capabilities, channels, languages and lawful delivery. SOM is then constrained by reachable customers, conversion, implementation and support capacity, retention and funding. All three use the same units and period. Where only the macroeconomic data above are available, a monetary project TAM should not be forced, nor should an arbitrary market share be presented as an achievable target.</w:t>
      </w:r>
    </w:p>
    <w:p>
      <w:pPr>
        <w:widowControl/>
      </w:pPr>
      <w:r>
        <w:rPr>
          <w:rFonts w:ascii="Calibri" w:hAnsi="Calibri" w:eastAsia="Songti SC"/>
          <w:color w:val="000000"/>
        </w:rPr>
        <w:t>A, B and C below are three purely hypothetical configurations with no target year, used to examine pricing structure and delivery scale. They are not accounting revenue, revenue forecasts, profit or financing valuations. Customers are assumed to use the service for a full year; amounts are in USD, exclude tax and have no costs deducted. Net price means the billing price after discounts, not profit per unit. Annual technical-service billings = customers × annual subscription fee + customers × max(annual eligible unique events per customer − included events per customer, 0) × net price per excess event. The event volumes already exclude retries, replays, duplicate records and other non-billable events. Included allowances are deducted once, and the same service cannot be billed again across applications.</w:t>
      </w:r>
    </w:p>
    <w:p>
      <w:pPr>
        <w:widowControl/>
      </w:pPr>
      <w:r>
        <w:rPr>
          <w:rFonts w:ascii="Calibri" w:hAnsi="Calibri" w:eastAsia="Songti SC"/>
          <w:color w:val="000000"/>
        </w:rPr>
        <w:t>An actual model should allow adjustments to customer numbers, activation months, churn, packages, net prices, service credits and implementation capacity, with separate bridges for subscription and usage billings, accounting recognition, collections and costs. A, B and C are not development stages or promised customer scale. The tests are whether contracts support the event definition and whether service can remain sustainable after cloud resources, support, disputes, channels and ongoing maintenance costs. The model excludes customer transaction principal, facility financing and distributions, token sales and price appreciation.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648"/>
        <w:gridCol w:w="1080"/>
        <w:gridCol w:w="2448"/>
        <w:gridCol w:w="2736"/>
        <w:gridCol w:w="3168"/>
      </w:tblGrid>
      <w:tr>
        <w:trPr>
          <w:cantSplit/>
          <w:tblHeader/>
        </w:trPr>
        <w:tc>
          <w:tcPr>
            <w:tcW w:type="dxa" w:w="648"/>
            <w:vAlign w:val="center"/>
            <w:shd w:fill="E7EDF2"/>
          </w:tcPr>
          <w:p>
            <w:pPr>
              <w:spacing w:after="0" w:before="0" w:line="259" w:lineRule="auto"/>
              <w:jc w:val="center"/>
            </w:pPr>
            <w:r>
              <w:rPr>
                <w:rFonts w:ascii="Calibri" w:hAnsi="Calibri" w:eastAsia="Songti SC"/>
                <w:b/>
                <w:color w:val="000000"/>
                <w:sz w:val="20"/>
              </w:rPr>
              <w:t>Case</w:t>
            </w:r>
          </w:p>
        </w:tc>
        <w:tc>
          <w:tcPr>
            <w:tcW w:type="dxa" w:w="1080"/>
            <w:vAlign w:val="center"/>
            <w:shd w:fill="E7EDF2"/>
          </w:tcPr>
          <w:p>
            <w:pPr>
              <w:spacing w:after="0" w:before="0" w:line="259" w:lineRule="auto"/>
            </w:pPr>
            <w:r>
              <w:rPr>
                <w:rFonts w:ascii="Calibri" w:hAnsi="Calibri" w:eastAsia="Songti SC"/>
                <w:b/>
                <w:color w:val="000000"/>
                <w:sz w:val="20"/>
              </w:rPr>
              <w:t>Full year clients</w:t>
            </w:r>
          </w:p>
        </w:tc>
        <w:tc>
          <w:tcPr>
            <w:tcW w:type="dxa" w:w="2448"/>
            <w:vAlign w:val="center"/>
            <w:shd w:fill="E7EDF2"/>
          </w:tcPr>
          <w:p>
            <w:pPr>
              <w:spacing w:after="0" w:before="0" w:line="259" w:lineRule="auto"/>
            </w:pPr>
            <w:r>
              <w:rPr>
                <w:rFonts w:ascii="Calibri" w:hAnsi="Calibri" w:eastAsia="Songti SC"/>
                <w:b/>
                <w:color w:val="000000"/>
                <w:sz w:val="20"/>
              </w:rPr>
              <w:t>Events per Customer / Included</w:t>
            </w:r>
          </w:p>
        </w:tc>
        <w:tc>
          <w:tcPr>
            <w:tcW w:type="dxa" w:w="2736"/>
            <w:vAlign w:val="center"/>
            <w:shd w:fill="E7EDF2"/>
          </w:tcPr>
          <w:p>
            <w:pPr>
              <w:spacing w:after="0" w:before="0" w:line="259" w:lineRule="auto"/>
            </w:pPr>
            <w:r>
              <w:rPr>
                <w:rFonts w:ascii="Calibri" w:hAnsi="Calibri" w:eastAsia="Songti SC"/>
                <w:b/>
                <w:color w:val="000000"/>
                <w:sz w:val="20"/>
              </w:rPr>
              <w:t>Annual Subscription / Net Excess-Event Price</w:t>
            </w:r>
          </w:p>
        </w:tc>
        <w:tc>
          <w:tcPr>
            <w:tcW w:type="dxa" w:w="3168"/>
            <w:vAlign w:val="center"/>
            <w:shd w:fill="E7EDF2"/>
          </w:tcPr>
          <w:p>
            <w:pPr>
              <w:spacing w:after="0" w:before="0" w:line="259" w:lineRule="auto"/>
            </w:pPr>
            <w:r>
              <w:rPr>
                <w:rFonts w:ascii="Calibri" w:hAnsi="Calibri" w:eastAsia="Songti SC"/>
                <w:b/>
                <w:color w:val="000000"/>
                <w:sz w:val="20"/>
              </w:rPr>
              <w:t>Annual Technical-Service Billings</w:t>
            </w:r>
          </w:p>
        </w:tc>
      </w:tr>
      <w:tr>
        <w:trPr>
          <w:cantSplit/>
        </w:trPr>
        <w:tc>
          <w:tcPr>
            <w:tcW w:type="dxa" w:w="648"/>
            <w:vAlign w:val="center"/>
            <w:shd w:fill="FFFFFF"/>
          </w:tcPr>
          <w:p>
            <w:pPr>
              <w:spacing w:after="0" w:before="0" w:line="259" w:lineRule="auto"/>
              <w:jc w:val="center"/>
            </w:pPr>
            <w:r>
              <w:rPr>
                <w:rFonts w:ascii="Calibri" w:hAnsi="Calibri" w:eastAsia="Songti SC"/>
                <w:color w:val="000000"/>
                <w:sz w:val="20"/>
              </w:rPr>
              <w:t>A</w:t>
            </w:r>
          </w:p>
        </w:tc>
        <w:tc>
          <w:tcPr>
            <w:tcW w:type="dxa" w:w="1080"/>
            <w:vAlign w:val="center"/>
            <w:shd w:fill="FFFFFF"/>
          </w:tcPr>
          <w:p>
            <w:pPr>
              <w:spacing w:after="0" w:before="0" w:line="259" w:lineRule="auto"/>
            </w:pPr>
            <w:r>
              <w:rPr>
                <w:rFonts w:ascii="Calibri" w:hAnsi="Calibri" w:eastAsia="Songti SC"/>
                <w:color w:val="000000"/>
                <w:sz w:val="20"/>
              </w:rPr>
              <w:t>100</w:t>
            </w:r>
          </w:p>
        </w:tc>
        <w:tc>
          <w:tcPr>
            <w:tcW w:type="dxa" w:w="2448"/>
            <w:vAlign w:val="center"/>
            <w:shd w:fill="FFFFFF"/>
          </w:tcPr>
          <w:p>
            <w:pPr>
              <w:spacing w:after="0" w:before="0" w:line="259" w:lineRule="auto"/>
            </w:pPr>
            <w:r>
              <w:rPr>
                <w:rFonts w:ascii="Calibri" w:hAnsi="Calibri" w:eastAsia="Songti SC"/>
                <w:color w:val="000000"/>
                <w:sz w:val="20"/>
              </w:rPr>
              <w:t>1,000,000 / 100,000</w:t>
            </w:r>
          </w:p>
        </w:tc>
        <w:tc>
          <w:tcPr>
            <w:tcW w:type="dxa" w:w="2736"/>
            <w:vAlign w:val="center"/>
            <w:shd w:fill="FFFFFF"/>
          </w:tcPr>
          <w:p>
            <w:pPr>
              <w:spacing w:after="0" w:before="0" w:line="259" w:lineRule="auto"/>
            </w:pPr>
            <w:r>
              <w:rPr>
                <w:rFonts w:ascii="Calibri" w:hAnsi="Calibri" w:eastAsia="Songti SC"/>
                <w:color w:val="000000"/>
                <w:sz w:val="20"/>
              </w:rPr>
              <w:t>USD 10,000 / USD 0.01</w:t>
            </w:r>
          </w:p>
        </w:tc>
        <w:tc>
          <w:tcPr>
            <w:tcW w:type="dxa" w:w="3168"/>
            <w:vAlign w:val="center"/>
            <w:shd w:fill="FFFFFF"/>
          </w:tcPr>
          <w:p>
            <w:pPr>
              <w:spacing w:after="0" w:before="0" w:line="259" w:lineRule="auto"/>
            </w:pPr>
            <w:r>
              <w:rPr>
                <w:rFonts w:ascii="Calibri" w:hAnsi="Calibri" w:eastAsia="Songti SC"/>
                <w:color w:val="000000"/>
                <w:sz w:val="20"/>
              </w:rPr>
              <w:t>USD 1,900,000</w:t>
            </w:r>
          </w:p>
        </w:tc>
      </w:tr>
      <w:tr>
        <w:trPr>
          <w:cantSplit/>
        </w:trPr>
        <w:tc>
          <w:tcPr>
            <w:tcW w:type="dxa" w:w="648"/>
            <w:vAlign w:val="center"/>
            <w:shd w:fill="FFFFFF"/>
          </w:tcPr>
          <w:p>
            <w:pPr>
              <w:spacing w:after="0" w:before="0" w:line="259" w:lineRule="auto"/>
              <w:jc w:val="center"/>
            </w:pPr>
            <w:r>
              <w:rPr>
                <w:rFonts w:ascii="Calibri" w:hAnsi="Calibri" w:eastAsia="Songti SC"/>
                <w:color w:val="000000"/>
                <w:sz w:val="20"/>
              </w:rPr>
              <w:t>B</w:t>
            </w:r>
          </w:p>
        </w:tc>
        <w:tc>
          <w:tcPr>
            <w:tcW w:type="dxa" w:w="1080"/>
            <w:vAlign w:val="center"/>
            <w:shd w:fill="FFFFFF"/>
          </w:tcPr>
          <w:p>
            <w:pPr>
              <w:spacing w:after="0" w:before="0" w:line="259" w:lineRule="auto"/>
            </w:pPr>
            <w:r>
              <w:rPr>
                <w:rFonts w:ascii="Calibri" w:hAnsi="Calibri" w:eastAsia="Songti SC"/>
                <w:color w:val="000000"/>
                <w:sz w:val="20"/>
              </w:rPr>
              <w:t>1,000</w:t>
            </w:r>
          </w:p>
        </w:tc>
        <w:tc>
          <w:tcPr>
            <w:tcW w:type="dxa" w:w="2448"/>
            <w:vAlign w:val="center"/>
            <w:shd w:fill="FFFFFF"/>
          </w:tcPr>
          <w:p>
            <w:pPr>
              <w:spacing w:after="0" w:before="0" w:line="259" w:lineRule="auto"/>
            </w:pPr>
            <w:r>
              <w:rPr>
                <w:rFonts w:ascii="Calibri" w:hAnsi="Calibri" w:eastAsia="Songti SC"/>
                <w:color w:val="000000"/>
                <w:sz w:val="20"/>
              </w:rPr>
              <w:t>5,000,000 / 1,000,000</w:t>
            </w:r>
          </w:p>
        </w:tc>
        <w:tc>
          <w:tcPr>
            <w:tcW w:type="dxa" w:w="2736"/>
            <w:vAlign w:val="center"/>
            <w:shd w:fill="FFFFFF"/>
          </w:tcPr>
          <w:p>
            <w:pPr>
              <w:spacing w:after="0" w:before="0" w:line="259" w:lineRule="auto"/>
            </w:pPr>
            <w:r>
              <w:rPr>
                <w:rFonts w:ascii="Calibri" w:hAnsi="Calibri" w:eastAsia="Songti SC"/>
                <w:color w:val="000000"/>
                <w:sz w:val="20"/>
              </w:rPr>
              <w:t>USD 20,000 / USD 0.008</w:t>
            </w:r>
          </w:p>
        </w:tc>
        <w:tc>
          <w:tcPr>
            <w:tcW w:type="dxa" w:w="3168"/>
            <w:vAlign w:val="center"/>
            <w:shd w:fill="FFFFFF"/>
          </w:tcPr>
          <w:p>
            <w:pPr>
              <w:spacing w:after="0" w:before="0" w:line="259" w:lineRule="auto"/>
            </w:pPr>
            <w:r>
              <w:rPr>
                <w:rFonts w:ascii="Calibri" w:hAnsi="Calibri" w:eastAsia="Songti SC"/>
                <w:color w:val="000000"/>
                <w:sz w:val="20"/>
              </w:rPr>
              <w:t>USD 52,000,000</w:t>
            </w:r>
          </w:p>
        </w:tc>
      </w:tr>
      <w:tr>
        <w:trPr>
          <w:cantSplit/>
        </w:trPr>
        <w:tc>
          <w:tcPr>
            <w:tcW w:type="dxa" w:w="648"/>
            <w:vAlign w:val="center"/>
            <w:shd w:fill="FFFFFF"/>
          </w:tcPr>
          <w:p>
            <w:pPr>
              <w:spacing w:after="0" w:before="0" w:line="259" w:lineRule="auto"/>
              <w:jc w:val="center"/>
            </w:pPr>
            <w:r>
              <w:rPr>
                <w:rFonts w:ascii="Calibri" w:hAnsi="Calibri" w:eastAsia="Songti SC"/>
                <w:color w:val="000000"/>
                <w:sz w:val="20"/>
              </w:rPr>
              <w:t>C</w:t>
            </w:r>
          </w:p>
        </w:tc>
        <w:tc>
          <w:tcPr>
            <w:tcW w:type="dxa" w:w="1080"/>
            <w:vAlign w:val="center"/>
            <w:shd w:fill="FFFFFF"/>
          </w:tcPr>
          <w:p>
            <w:pPr>
              <w:spacing w:after="0" w:before="0" w:line="259" w:lineRule="auto"/>
            </w:pPr>
            <w:r>
              <w:rPr>
                <w:rFonts w:ascii="Calibri" w:hAnsi="Calibri" w:eastAsia="Songti SC"/>
                <w:color w:val="000000"/>
                <w:sz w:val="20"/>
              </w:rPr>
              <w:t>5,000</w:t>
            </w:r>
          </w:p>
        </w:tc>
        <w:tc>
          <w:tcPr>
            <w:tcW w:type="dxa" w:w="2448"/>
            <w:vAlign w:val="center"/>
            <w:shd w:fill="FFFFFF"/>
          </w:tcPr>
          <w:p>
            <w:pPr>
              <w:spacing w:after="0" w:before="0" w:line="259" w:lineRule="auto"/>
            </w:pPr>
            <w:r>
              <w:rPr>
                <w:rFonts w:ascii="Calibri" w:hAnsi="Calibri" w:eastAsia="Songti SC"/>
                <w:color w:val="000000"/>
                <w:sz w:val="20"/>
              </w:rPr>
              <w:t>10,000,000 / 2,000,000</w:t>
            </w:r>
          </w:p>
        </w:tc>
        <w:tc>
          <w:tcPr>
            <w:tcW w:type="dxa" w:w="2736"/>
            <w:vAlign w:val="center"/>
            <w:shd w:fill="FFFFFF"/>
          </w:tcPr>
          <w:p>
            <w:pPr>
              <w:spacing w:after="0" w:before="0" w:line="259" w:lineRule="auto"/>
            </w:pPr>
            <w:r>
              <w:rPr>
                <w:rFonts w:ascii="Calibri" w:hAnsi="Calibri" w:eastAsia="Songti SC"/>
                <w:color w:val="000000"/>
                <w:sz w:val="20"/>
              </w:rPr>
              <w:t>USD 30,000 / USD 0.005</w:t>
            </w:r>
          </w:p>
        </w:tc>
        <w:tc>
          <w:tcPr>
            <w:tcW w:type="dxa" w:w="3168"/>
            <w:vAlign w:val="center"/>
            <w:shd w:fill="FFFFFF"/>
          </w:tcPr>
          <w:p>
            <w:pPr>
              <w:spacing w:after="0" w:before="0" w:line="259" w:lineRule="auto"/>
            </w:pPr>
            <w:r>
              <w:rPr>
                <w:rFonts w:ascii="Calibri" w:hAnsi="Calibri" w:eastAsia="Songti SC"/>
                <w:color w:val="000000"/>
                <w:sz w:val="20"/>
              </w:rPr>
              <w:t>USD 350,000,000</w:t>
            </w:r>
          </w:p>
        </w:tc>
      </w:tr>
    </w:tbl>
    <w:p>
      <w:pPr>
        <w:widowControl/>
        <w:spacing w:after="20"/>
      </w:pPr>
    </w:p>
    <w:p>
      <w:pPr>
        <w:pStyle w:val="Heading2"/>
        <w:widowControl/>
      </w:pPr>
      <w:r>
        <w:rPr>
          <w:rFonts w:ascii="Calibri" w:hAnsi="Calibri" w:eastAsia="Songti SC"/>
          <w:color w:val="000000"/>
        </w:rPr>
        <w:t>25 3 Payers for the Initial NFT Business and Seven Extensions</w:t>
      </w:r>
    </w:p>
    <w:p>
      <w:pPr>
        <w:widowControl/>
      </w:pPr>
      <w:r>
        <w:rPr>
          <w:rFonts w:ascii="Calibri" w:hAnsi="Calibri" w:eastAsia="Songti SC"/>
          <w:color w:val="000000"/>
        </w:rPr>
        <w:t>The table presents proposed commercial-validation paths, not signed customers or established industry qualifications. The billing entity is the provider responsible for technical delivery under the contract. NFT transaction consideration, platform commissions, licence consideration, goods payments, data fees, compute charges and machine-operating revenue remain with their respective rights holders and contracting parties. Agent Link earns a corresponding technical-service fee only where it has the necessary rights and authority and performs the contracted service.</w:t>
      </w:r>
    </w:p>
    <w:p>
      <w:pPr>
        <w:widowControl/>
      </w:pPr>
      <w:r>
        <w:rPr>
          <w:rFonts w:ascii="Calibri" w:hAnsi="Calibri" w:eastAsia="Songti SC"/>
          <w:color w:val="000000"/>
        </w:rPr>
        <w:t>An initial milestone should produce both reviewable technical results and a basis for payment before expansion is considered. The RWAIX brand does not automatically become a legal recipient of funds. Consolidated reporting and freely available cash at the listed parent (ticker: MI) cannot be equated with providers’ aggregate billings. Distributable facility-SPV cash and DCNFT series interests are calculated separately under the applicable documents. Actual demand to use $RWAIX likewise does not imply price appreciation or revenue participation.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152"/>
        <w:gridCol w:w="1944"/>
        <w:gridCol w:w="1584"/>
        <w:gridCol w:w="2088"/>
        <w:gridCol w:w="3312"/>
      </w:tblGrid>
      <w:tr>
        <w:trPr>
          <w:cantSplit/>
          <w:tblHeader/>
        </w:trPr>
        <w:tc>
          <w:tcPr>
            <w:tcW w:type="dxa" w:w="1152"/>
            <w:vAlign w:val="center"/>
            <w:shd w:fill="E7EDF2"/>
          </w:tcPr>
          <w:p>
            <w:pPr>
              <w:spacing w:after="0" w:before="0" w:line="259" w:lineRule="auto"/>
              <w:jc w:val="center"/>
            </w:pPr>
            <w:r>
              <w:rPr>
                <w:rFonts w:ascii="Calibri" w:hAnsi="Calibri" w:eastAsia="Songti SC"/>
                <w:b/>
                <w:color w:val="000000"/>
                <w:sz w:val="20"/>
              </w:rPr>
              <w:t>Use case</w:t>
            </w:r>
          </w:p>
        </w:tc>
        <w:tc>
          <w:tcPr>
            <w:tcW w:type="dxa" w:w="1944"/>
            <w:vAlign w:val="center"/>
            <w:shd w:fill="E7EDF2"/>
          </w:tcPr>
          <w:p>
            <w:pPr>
              <w:spacing w:after="0" w:before="0" w:line="259" w:lineRule="auto"/>
            </w:pPr>
            <w:r>
              <w:rPr>
                <w:rFonts w:ascii="Calibri" w:hAnsi="Calibri" w:eastAsia="Songti SC"/>
                <w:b/>
                <w:color w:val="000000"/>
                <w:sz w:val="20"/>
              </w:rPr>
              <w:t>Technical Billing Entity</w:t>
            </w:r>
          </w:p>
        </w:tc>
        <w:tc>
          <w:tcPr>
            <w:tcW w:type="dxa" w:w="1584"/>
            <w:vAlign w:val="center"/>
            <w:shd w:fill="E7EDF2"/>
          </w:tcPr>
          <w:p>
            <w:pPr>
              <w:spacing w:after="0" w:before="0" w:line="259" w:lineRule="auto"/>
            </w:pPr>
            <w:r>
              <w:rPr>
                <w:rFonts w:ascii="Calibri" w:hAnsi="Calibri" w:eastAsia="Songti SC"/>
                <w:b/>
                <w:color w:val="000000"/>
                <w:sz w:val="20"/>
              </w:rPr>
              <w:t>Payer</w:t>
            </w:r>
          </w:p>
        </w:tc>
        <w:tc>
          <w:tcPr>
            <w:tcW w:type="dxa" w:w="2088"/>
            <w:vAlign w:val="center"/>
            <w:shd w:fill="E7EDF2"/>
          </w:tcPr>
          <w:p>
            <w:pPr>
              <w:spacing w:after="0" w:before="0" w:line="259" w:lineRule="auto"/>
            </w:pPr>
            <w:r>
              <w:rPr>
                <w:rFonts w:ascii="Calibri" w:hAnsi="Calibri" w:eastAsia="Songti SC"/>
                <w:b/>
                <w:color w:val="000000"/>
                <w:sz w:val="20"/>
              </w:rPr>
              <w:t>Candidate Billing Unit</w:t>
            </w:r>
          </w:p>
        </w:tc>
        <w:tc>
          <w:tcPr>
            <w:tcW w:type="dxa" w:w="3312"/>
            <w:vAlign w:val="center"/>
            <w:shd w:fill="E7EDF2"/>
          </w:tcPr>
          <w:p>
            <w:pPr>
              <w:spacing w:after="0" w:before="0" w:line="259" w:lineRule="auto"/>
            </w:pPr>
            <w:r>
              <w:rPr>
                <w:rFonts w:ascii="Calibri" w:hAnsi="Calibri" w:eastAsia="Songti SC"/>
                <w:b/>
                <w:color w:val="000000"/>
                <w:sz w:val="20"/>
              </w:rPr>
              <w:t>Initial Validation Milestone</w:t>
            </w:r>
          </w:p>
        </w:tc>
      </w:tr>
      <w:tr>
        <w:trPr>
          <w:cantSplit/>
        </w:trPr>
        <w:tc>
          <w:tcPr>
            <w:tcW w:type="dxa" w:w="1152"/>
            <w:vAlign w:val="center"/>
            <w:shd w:fill="FFFFFF"/>
          </w:tcPr>
          <w:p>
            <w:pPr>
              <w:spacing w:after="0" w:before="0" w:line="259" w:lineRule="auto"/>
              <w:jc w:val="center"/>
            </w:pPr>
            <w:r>
              <w:rPr>
                <w:rFonts w:ascii="Calibri" w:hAnsi="Calibri" w:eastAsia="Songti SC"/>
                <w:color w:val="000000"/>
                <w:sz w:val="20"/>
              </w:rPr>
              <w:t>NFT trades</w:t>
            </w:r>
          </w:p>
        </w:tc>
        <w:tc>
          <w:tcPr>
            <w:tcW w:type="dxa" w:w="1944"/>
            <w:vAlign w:val="center"/>
            <w:shd w:fill="FFFFFF"/>
          </w:tcPr>
          <w:p>
            <w:pPr>
              <w:spacing w:after="0" w:before="0" w:line="259" w:lineRule="auto"/>
            </w:pPr>
            <w:r>
              <w:rPr>
                <w:rFonts w:ascii="Calibri" w:hAnsi="Calibri" w:eastAsia="Songti SC"/>
                <w:color w:val="000000"/>
                <w:sz w:val="20"/>
              </w:rPr>
              <w:t>Authorized transaction-workflow provider</w:t>
            </w:r>
          </w:p>
        </w:tc>
        <w:tc>
          <w:tcPr>
            <w:tcW w:type="dxa" w:w="1584"/>
            <w:vAlign w:val="center"/>
            <w:shd w:fill="FFFFFF"/>
          </w:tcPr>
          <w:p>
            <w:pPr>
              <w:spacing w:after="0" w:before="0" w:line="259" w:lineRule="auto"/>
            </w:pPr>
            <w:r>
              <w:rPr>
                <w:rFonts w:ascii="Calibri" w:hAnsi="Calibri" w:eastAsia="Songti SC"/>
                <w:color w:val="000000"/>
                <w:sz w:val="20"/>
              </w:rPr>
              <w:t>Platform operator or contracted party</w:t>
            </w:r>
          </w:p>
        </w:tc>
        <w:tc>
          <w:tcPr>
            <w:tcW w:type="dxa" w:w="2088"/>
            <w:vAlign w:val="center"/>
            <w:shd w:fill="FFFFFF"/>
          </w:tcPr>
          <w:p>
            <w:pPr>
              <w:spacing w:after="0" w:before="0" w:line="259" w:lineRule="auto"/>
            </w:pPr>
            <w:r>
              <w:rPr>
                <w:rFonts w:ascii="Calibri" w:hAnsi="Calibri" w:eastAsia="Songti SC"/>
                <w:color w:val="000000"/>
                <w:sz w:val="20"/>
              </w:rPr>
              <w:t>Platform integration / unique order check</w:t>
            </w:r>
          </w:p>
        </w:tc>
        <w:tc>
          <w:tcPr>
            <w:tcW w:type="dxa" w:w="3312"/>
            <w:vAlign w:val="center"/>
            <w:shd w:fill="FFFFFF"/>
          </w:tcPr>
          <w:p>
            <w:pPr>
              <w:spacing w:after="0" w:before="0" w:line="259" w:lineRule="auto"/>
            </w:pPr>
            <w:r>
              <w:rPr>
                <w:rFonts w:ascii="Calibri" w:hAnsi="Calibri" w:eastAsia="Songti SC"/>
                <w:color w:val="000000"/>
                <w:sz w:val="20"/>
              </w:rPr>
              <w:t>One authorized order: binding, licence, delivery, acceptance and separate reconciliation; consideration and commissions separately accounted</w:t>
            </w:r>
          </w:p>
        </w:tc>
      </w:tr>
      <w:tr>
        <w:trPr>
          <w:cantSplit/>
        </w:trPr>
        <w:tc>
          <w:tcPr>
            <w:tcW w:type="dxa" w:w="1152"/>
            <w:vAlign w:val="center"/>
            <w:shd w:fill="FFFFFF"/>
          </w:tcPr>
          <w:p>
            <w:pPr>
              <w:spacing w:after="0" w:before="0" w:line="259" w:lineRule="auto"/>
              <w:jc w:val="center"/>
            </w:pPr>
            <w:r>
              <w:rPr>
                <w:rFonts w:ascii="Calibri" w:hAnsi="Calibri" w:eastAsia="Songti SC"/>
                <w:color w:val="000000"/>
                <w:sz w:val="20"/>
              </w:rPr>
              <w:t>Identity</w:t>
            </w:r>
          </w:p>
        </w:tc>
        <w:tc>
          <w:tcPr>
            <w:tcW w:type="dxa" w:w="1944"/>
            <w:vAlign w:val="center"/>
            <w:shd w:fill="FFFFFF"/>
          </w:tcPr>
          <w:p>
            <w:pPr>
              <w:spacing w:after="0" w:before="0" w:line="259" w:lineRule="auto"/>
            </w:pPr>
            <w:r>
              <w:rPr>
                <w:rFonts w:ascii="Calibri" w:hAnsi="Calibri" w:eastAsia="Songti SC"/>
                <w:color w:val="000000"/>
                <w:sz w:val="20"/>
              </w:rPr>
              <w:t>Identity integration or verification provider</w:t>
            </w:r>
          </w:p>
        </w:tc>
        <w:tc>
          <w:tcPr>
            <w:tcW w:type="dxa" w:w="1584"/>
            <w:vAlign w:val="center"/>
            <w:shd w:fill="FFFFFF"/>
          </w:tcPr>
          <w:p>
            <w:pPr>
              <w:spacing w:after="0" w:before="0" w:line="259" w:lineRule="auto"/>
            </w:pPr>
            <w:r>
              <w:rPr>
                <w:rFonts w:ascii="Calibri" w:hAnsi="Calibri" w:eastAsia="Songti SC"/>
                <w:color w:val="000000"/>
                <w:sz w:val="20"/>
              </w:rPr>
              <w:t>Relying institution or sponsor</w:t>
            </w:r>
          </w:p>
        </w:tc>
        <w:tc>
          <w:tcPr>
            <w:tcW w:type="dxa" w:w="2088"/>
            <w:vAlign w:val="center"/>
            <w:shd w:fill="FFFFFF"/>
          </w:tcPr>
          <w:p>
            <w:pPr>
              <w:spacing w:after="0" w:before="0" w:line="259" w:lineRule="auto"/>
            </w:pPr>
            <w:r>
              <w:rPr>
                <w:rFonts w:ascii="Calibri" w:hAnsi="Calibri" w:eastAsia="Songti SC"/>
                <w:color w:val="000000"/>
                <w:sz w:val="20"/>
              </w:rPr>
              <w:t>Institutional subscription / authorized check</w:t>
            </w:r>
          </w:p>
        </w:tc>
        <w:tc>
          <w:tcPr>
            <w:tcW w:type="dxa" w:w="3312"/>
            <w:vAlign w:val="center"/>
            <w:shd w:fill="FFFFFF"/>
          </w:tcPr>
          <w:p>
            <w:pPr>
              <w:spacing w:after="0" w:before="0" w:line="259" w:lineRule="auto"/>
            </w:pPr>
            <w:r>
              <w:rPr>
                <w:rFonts w:ascii="Calibri" w:hAnsi="Calibri" w:eastAsia="Songti SC"/>
                <w:color w:val="000000"/>
                <w:sz w:val="20"/>
              </w:rPr>
              <w:t>Institution-accepted credentials and revocation review; zero-price demonstration</w:t>
            </w:r>
          </w:p>
        </w:tc>
      </w:tr>
      <w:tr>
        <w:trPr>
          <w:cantSplit/>
        </w:trPr>
        <w:tc>
          <w:tcPr>
            <w:tcW w:type="dxa" w:w="1152"/>
            <w:vAlign w:val="center"/>
            <w:shd w:fill="FFFFFF"/>
          </w:tcPr>
          <w:p>
            <w:pPr>
              <w:spacing w:after="0" w:before="0" w:line="259" w:lineRule="auto"/>
              <w:jc w:val="center"/>
            </w:pPr>
            <w:r>
              <w:rPr>
                <w:rFonts w:ascii="Calibri" w:hAnsi="Calibri" w:eastAsia="Songti SC"/>
                <w:color w:val="000000"/>
                <w:sz w:val="20"/>
              </w:rPr>
              <w:t>Content</w:t>
            </w:r>
          </w:p>
        </w:tc>
        <w:tc>
          <w:tcPr>
            <w:tcW w:type="dxa" w:w="1944"/>
            <w:vAlign w:val="center"/>
            <w:shd w:fill="FFFFFF"/>
          </w:tcPr>
          <w:p>
            <w:pPr>
              <w:spacing w:after="0" w:before="0" w:line="259" w:lineRule="auto"/>
            </w:pPr>
            <w:r>
              <w:rPr>
                <w:rFonts w:ascii="Calibri" w:hAnsi="Calibri" w:eastAsia="Songti SC"/>
                <w:color w:val="000000"/>
                <w:sz w:val="20"/>
              </w:rPr>
              <w:t>Provenance and licensing-workflow provider</w:t>
            </w:r>
          </w:p>
        </w:tc>
        <w:tc>
          <w:tcPr>
            <w:tcW w:type="dxa" w:w="1584"/>
            <w:vAlign w:val="center"/>
            <w:shd w:fill="FFFFFF"/>
          </w:tcPr>
          <w:p>
            <w:pPr>
              <w:spacing w:after="0" w:before="0" w:line="259" w:lineRule="auto"/>
            </w:pPr>
            <w:r>
              <w:rPr>
                <w:rFonts w:ascii="Calibri" w:hAnsi="Calibri" w:eastAsia="Songti SC"/>
                <w:color w:val="000000"/>
                <w:sz w:val="20"/>
              </w:rPr>
              <w:t>Licensor or user platform</w:t>
            </w:r>
          </w:p>
        </w:tc>
        <w:tc>
          <w:tcPr>
            <w:tcW w:type="dxa" w:w="2088"/>
            <w:vAlign w:val="center"/>
            <w:shd w:fill="FFFFFF"/>
          </w:tcPr>
          <w:p>
            <w:pPr>
              <w:spacing w:after="0" w:before="0" w:line="259" w:lineRule="auto"/>
            </w:pPr>
            <w:r>
              <w:rPr>
                <w:rFonts w:ascii="Calibri" w:hAnsi="Calibri" w:eastAsia="Songti SC"/>
                <w:color w:val="000000"/>
                <w:sz w:val="20"/>
              </w:rPr>
              <w:t>Work version / licensing workflow</w:t>
            </w:r>
          </w:p>
        </w:tc>
        <w:tc>
          <w:tcPr>
            <w:tcW w:type="dxa" w:w="3312"/>
            <w:vAlign w:val="center"/>
            <w:shd w:fill="FFFFFF"/>
          </w:tcPr>
          <w:p>
            <w:pPr>
              <w:spacing w:after="0" w:before="0" w:line="259" w:lineRule="auto"/>
            </w:pPr>
            <w:r>
              <w:rPr>
                <w:rFonts w:ascii="Calibri" w:hAnsi="Calibri" w:eastAsia="Songti SC"/>
                <w:color w:val="000000"/>
                <w:sz w:val="20"/>
              </w:rPr>
              <w:t>Review rights chain, purpose and expiry rejection; separate creator consideration</w:t>
            </w:r>
          </w:p>
        </w:tc>
      </w:tr>
      <w:tr>
        <w:trPr>
          <w:cantSplit/>
        </w:trPr>
        <w:tc>
          <w:tcPr>
            <w:tcW w:type="dxa" w:w="1152"/>
            <w:vAlign w:val="center"/>
            <w:shd w:fill="FFFFFF"/>
          </w:tcPr>
          <w:p>
            <w:pPr>
              <w:spacing w:after="0" w:before="0" w:line="259" w:lineRule="auto"/>
              <w:jc w:val="center"/>
            </w:pPr>
            <w:r>
              <w:rPr>
                <w:rFonts w:ascii="Calibri" w:hAnsi="Calibri" w:eastAsia="Songti SC"/>
                <w:color w:val="000000"/>
                <w:sz w:val="20"/>
              </w:rPr>
              <w:t>Data</w:t>
            </w:r>
          </w:p>
        </w:tc>
        <w:tc>
          <w:tcPr>
            <w:tcW w:type="dxa" w:w="1944"/>
            <w:vAlign w:val="center"/>
            <w:shd w:fill="FFFFFF"/>
          </w:tcPr>
          <w:p>
            <w:pPr>
              <w:spacing w:after="0" w:before="0" w:line="259" w:lineRule="auto"/>
            </w:pPr>
            <w:r>
              <w:rPr>
                <w:rFonts w:ascii="Calibri" w:hAnsi="Calibri" w:eastAsia="Songti SC"/>
                <w:color w:val="000000"/>
                <w:sz w:val="20"/>
              </w:rPr>
              <w:t>Controlled-access and policy provider</w:t>
            </w:r>
          </w:p>
        </w:tc>
        <w:tc>
          <w:tcPr>
            <w:tcW w:type="dxa" w:w="1584"/>
            <w:vAlign w:val="center"/>
            <w:shd w:fill="FFFFFF"/>
          </w:tcPr>
          <w:p>
            <w:pPr>
              <w:spacing w:after="0" w:before="0" w:line="259" w:lineRule="auto"/>
            </w:pPr>
            <w:r>
              <w:rPr>
                <w:rFonts w:ascii="Calibri" w:hAnsi="Calibri" w:eastAsia="Songti SC"/>
                <w:color w:val="000000"/>
                <w:sz w:val="20"/>
              </w:rPr>
              <w:t>Custodian or enterprise user</w:t>
            </w:r>
          </w:p>
        </w:tc>
        <w:tc>
          <w:tcPr>
            <w:tcW w:type="dxa" w:w="2088"/>
            <w:vAlign w:val="center"/>
            <w:shd w:fill="FFFFFF"/>
          </w:tcPr>
          <w:p>
            <w:pPr>
              <w:spacing w:after="0" w:before="0" w:line="259" w:lineRule="auto"/>
            </w:pPr>
            <w:r>
              <w:rPr>
                <w:rFonts w:ascii="Calibri" w:hAnsi="Calibri" w:eastAsia="Songti SC"/>
                <w:color w:val="000000"/>
                <w:sz w:val="20"/>
              </w:rPr>
              <w:t>Dataset integration / authorized query</w:t>
            </w:r>
          </w:p>
        </w:tc>
        <w:tc>
          <w:tcPr>
            <w:tcW w:type="dxa" w:w="3312"/>
            <w:vAlign w:val="center"/>
            <w:shd w:fill="FFFFFF"/>
          </w:tcPr>
          <w:p>
            <w:pPr>
              <w:spacing w:after="0" w:before="0" w:line="259" w:lineRule="auto"/>
            </w:pPr>
            <w:r>
              <w:rPr>
                <w:rFonts w:ascii="Calibri" w:hAnsi="Calibri" w:eastAsia="Songti SC"/>
                <w:color w:val="000000"/>
                <w:sz w:val="20"/>
              </w:rPr>
              <w:t>Admission, revocation and complete access logs for one synthetic purpose</w:t>
            </w:r>
          </w:p>
        </w:tc>
      </w:tr>
      <w:tr>
        <w:trPr>
          <w:cantSplit/>
        </w:trPr>
        <w:tc>
          <w:tcPr>
            <w:tcW w:type="dxa" w:w="1152"/>
            <w:vAlign w:val="center"/>
            <w:shd w:fill="FFFFFF"/>
          </w:tcPr>
          <w:p>
            <w:pPr>
              <w:spacing w:after="0" w:before="0" w:line="259" w:lineRule="auto"/>
              <w:jc w:val="center"/>
            </w:pPr>
            <w:r>
              <w:rPr>
                <w:rFonts w:ascii="Calibri" w:hAnsi="Calibri" w:eastAsia="Songti SC"/>
                <w:color w:val="000000"/>
                <w:sz w:val="20"/>
              </w:rPr>
              <w:t>Supply chain</w:t>
            </w:r>
          </w:p>
        </w:tc>
        <w:tc>
          <w:tcPr>
            <w:tcW w:type="dxa" w:w="1944"/>
            <w:vAlign w:val="center"/>
            <w:shd w:fill="FFFFFF"/>
          </w:tcPr>
          <w:p>
            <w:pPr>
              <w:spacing w:after="0" w:before="0" w:line="259" w:lineRule="auto"/>
            </w:pPr>
            <w:r>
              <w:rPr>
                <w:rFonts w:ascii="Calibri" w:hAnsi="Calibri" w:eastAsia="Songti SC"/>
                <w:color w:val="000000"/>
                <w:sz w:val="20"/>
              </w:rPr>
              <w:t>Handover and reconciliation connector provider</w:t>
            </w:r>
          </w:p>
        </w:tc>
        <w:tc>
          <w:tcPr>
            <w:tcW w:type="dxa" w:w="1584"/>
            <w:vAlign w:val="center"/>
            <w:shd w:fill="FFFFFF"/>
          </w:tcPr>
          <w:p>
            <w:pPr>
              <w:spacing w:after="0" w:before="0" w:line="259" w:lineRule="auto"/>
            </w:pPr>
            <w:r>
              <w:rPr>
                <w:rFonts w:ascii="Calibri" w:hAnsi="Calibri" w:eastAsia="Songti SC"/>
                <w:color w:val="000000"/>
                <w:sz w:val="20"/>
              </w:rPr>
              <w:t>Buyer, supplier or logistics party</w:t>
            </w:r>
          </w:p>
        </w:tc>
        <w:tc>
          <w:tcPr>
            <w:tcW w:type="dxa" w:w="2088"/>
            <w:vAlign w:val="center"/>
            <w:shd w:fill="FFFFFF"/>
          </w:tcPr>
          <w:p>
            <w:pPr>
              <w:spacing w:after="0" w:before="0" w:line="259" w:lineRule="auto"/>
            </w:pPr>
            <w:r>
              <w:rPr>
                <w:rFonts w:ascii="Calibri" w:hAnsi="Calibri" w:eastAsia="Songti SC"/>
                <w:color w:val="000000"/>
                <w:sz w:val="20"/>
              </w:rPr>
              <w:t>Connected site / unique handover</w:t>
            </w:r>
          </w:p>
        </w:tc>
        <w:tc>
          <w:tcPr>
            <w:tcW w:type="dxa" w:w="3312"/>
            <w:vAlign w:val="center"/>
            <w:shd w:fill="FFFFFF"/>
          </w:tcPr>
          <w:p>
            <w:pPr>
              <w:spacing w:after="0" w:before="0" w:line="259" w:lineRule="auto"/>
            </w:pPr>
            <w:r>
              <w:rPr>
                <w:rFonts w:ascii="Calibri" w:hAnsi="Calibri" w:eastAsia="Songti SC"/>
                <w:color w:val="000000"/>
                <w:sz w:val="20"/>
              </w:rPr>
              <w:t>Partial acceptance of one batch without duplicate handover accumulation</w:t>
            </w:r>
          </w:p>
        </w:tc>
      </w:tr>
      <w:tr>
        <w:trPr>
          <w:cantSplit/>
        </w:trPr>
        <w:tc>
          <w:tcPr>
            <w:tcW w:type="dxa" w:w="1152"/>
            <w:vAlign w:val="center"/>
            <w:shd w:fill="FFFFFF"/>
          </w:tcPr>
          <w:p>
            <w:pPr>
              <w:spacing w:after="0" w:before="0" w:line="259" w:lineRule="auto"/>
              <w:jc w:val="center"/>
            </w:pPr>
            <w:r>
              <w:rPr>
                <w:rFonts w:ascii="Calibri" w:hAnsi="Calibri" w:eastAsia="Songti SC"/>
                <w:color w:val="000000"/>
                <w:sz w:val="20"/>
              </w:rPr>
              <w:t>Agent workflows</w:t>
            </w:r>
          </w:p>
        </w:tc>
        <w:tc>
          <w:tcPr>
            <w:tcW w:type="dxa" w:w="1944"/>
            <w:vAlign w:val="center"/>
            <w:shd w:fill="FFFFFF"/>
          </w:tcPr>
          <w:p>
            <w:pPr>
              <w:spacing w:after="0" w:before="0" w:line="259" w:lineRule="auto"/>
            </w:pPr>
            <w:r>
              <w:rPr>
                <w:rFonts w:ascii="Calibri" w:hAnsi="Calibri" w:eastAsia="Songti SC"/>
                <w:color w:val="000000"/>
                <w:sz w:val="20"/>
              </w:rPr>
              <w:t>Authorization and execution-audit provider</w:t>
            </w:r>
          </w:p>
        </w:tc>
        <w:tc>
          <w:tcPr>
            <w:tcW w:type="dxa" w:w="1584"/>
            <w:vAlign w:val="center"/>
            <w:shd w:fill="FFFFFF"/>
          </w:tcPr>
          <w:p>
            <w:pPr>
              <w:spacing w:after="0" w:before="0" w:line="259" w:lineRule="auto"/>
            </w:pPr>
            <w:r>
              <w:rPr>
                <w:rFonts w:ascii="Calibri" w:hAnsi="Calibri" w:eastAsia="Songti SC"/>
                <w:color w:val="000000"/>
                <w:sz w:val="20"/>
              </w:rPr>
              <w:t>Delegating organization</w:t>
            </w:r>
          </w:p>
        </w:tc>
        <w:tc>
          <w:tcPr>
            <w:tcW w:type="dxa" w:w="2088"/>
            <w:vAlign w:val="center"/>
            <w:shd w:fill="FFFFFF"/>
          </w:tcPr>
          <w:p>
            <w:pPr>
              <w:spacing w:after="0" w:before="0" w:line="259" w:lineRule="auto"/>
            </w:pPr>
            <w:r>
              <w:rPr>
                <w:rFonts w:ascii="Calibri" w:hAnsi="Calibri" w:eastAsia="Songti SC"/>
                <w:color w:val="000000"/>
                <w:sz w:val="20"/>
              </w:rPr>
              <w:t>Workflow subscription / authorized task</w:t>
            </w:r>
          </w:p>
        </w:tc>
        <w:tc>
          <w:tcPr>
            <w:tcW w:type="dxa" w:w="3312"/>
            <w:vAlign w:val="center"/>
            <w:shd w:fill="FFFFFF"/>
          </w:tcPr>
          <w:p>
            <w:pPr>
              <w:spacing w:after="0" w:before="0" w:line="259" w:lineRule="auto"/>
            </w:pPr>
            <w:r>
              <w:rPr>
                <w:rFonts w:ascii="Calibri" w:hAnsi="Calibri" w:eastAsia="Songti SC"/>
                <w:color w:val="000000"/>
                <w:sz w:val="20"/>
              </w:rPr>
              <w:t>Budget and authority conservation; unknown outcomes retain allowance</w:t>
            </w:r>
          </w:p>
        </w:tc>
      </w:tr>
      <w:tr>
        <w:trPr>
          <w:cantSplit/>
        </w:trPr>
        <w:tc>
          <w:tcPr>
            <w:tcW w:type="dxa" w:w="1152"/>
            <w:vAlign w:val="center"/>
            <w:shd w:fill="FFFFFF"/>
          </w:tcPr>
          <w:p>
            <w:pPr>
              <w:spacing w:after="0" w:before="0" w:line="259" w:lineRule="auto"/>
              <w:jc w:val="center"/>
            </w:pPr>
            <w:r>
              <w:rPr>
                <w:rFonts w:ascii="Calibri" w:hAnsi="Calibri" w:eastAsia="Songti SC"/>
                <w:color w:val="000000"/>
                <w:sz w:val="20"/>
              </w:rPr>
              <w:t>Compute</w:t>
            </w:r>
          </w:p>
        </w:tc>
        <w:tc>
          <w:tcPr>
            <w:tcW w:type="dxa" w:w="1944"/>
            <w:vAlign w:val="center"/>
            <w:shd w:fill="FFFFFF"/>
          </w:tcPr>
          <w:p>
            <w:pPr>
              <w:spacing w:after="0" w:before="0" w:line="259" w:lineRule="auto"/>
            </w:pPr>
            <w:r>
              <w:rPr>
                <w:rFonts w:ascii="Calibri" w:hAnsi="Calibri" w:eastAsia="Songti SC"/>
                <w:color w:val="000000"/>
                <w:sz w:val="20"/>
              </w:rPr>
              <w:t>Contracted technology operator or verification provider</w:t>
            </w:r>
          </w:p>
        </w:tc>
        <w:tc>
          <w:tcPr>
            <w:tcW w:type="dxa" w:w="1584"/>
            <w:vAlign w:val="center"/>
            <w:shd w:fill="FFFFFF"/>
          </w:tcPr>
          <w:p>
            <w:pPr>
              <w:spacing w:after="0" w:before="0" w:line="259" w:lineRule="auto"/>
            </w:pPr>
            <w:r>
              <w:rPr>
                <w:rFonts w:ascii="Calibri" w:hAnsi="Calibri" w:eastAsia="Songti SC"/>
                <w:color w:val="000000"/>
                <w:sz w:val="20"/>
              </w:rPr>
              <w:t>Resource provider or enterprise customer</w:t>
            </w:r>
          </w:p>
        </w:tc>
        <w:tc>
          <w:tcPr>
            <w:tcW w:type="dxa" w:w="2088"/>
            <w:vAlign w:val="center"/>
            <w:shd w:fill="FFFFFF"/>
          </w:tcPr>
          <w:p>
            <w:pPr>
              <w:spacing w:after="0" w:before="0" w:line="259" w:lineRule="auto"/>
            </w:pPr>
            <w:r>
              <w:rPr>
                <w:rFonts w:ascii="Calibri" w:hAnsi="Calibri" w:eastAsia="Songti SC"/>
                <w:color w:val="000000"/>
                <w:sz w:val="20"/>
              </w:rPr>
              <w:t>Connected resource pool / accepted task</w:t>
            </w:r>
          </w:p>
        </w:tc>
        <w:tc>
          <w:tcPr>
            <w:tcW w:type="dxa" w:w="3312"/>
            <w:vAlign w:val="center"/>
            <w:shd w:fill="FFFFFF"/>
          </w:tcPr>
          <w:p>
            <w:pPr>
              <w:spacing w:after="0" w:before="0" w:line="259" w:lineRule="auto"/>
            </w:pPr>
            <w:r>
              <w:rPr>
                <w:rFonts w:ascii="Calibri" w:hAnsi="Calibri" w:eastAsia="Songti SC"/>
                <w:color w:val="000000"/>
                <w:sz w:val="20"/>
              </w:rPr>
              <w:t>Reviewable delivery, acceptance and separate customer-payment and network-fee ledgers</w:t>
            </w:r>
          </w:p>
        </w:tc>
      </w:tr>
      <w:tr>
        <w:trPr>
          <w:cantSplit/>
        </w:trPr>
        <w:tc>
          <w:tcPr>
            <w:tcW w:type="dxa" w:w="1152"/>
            <w:vAlign w:val="center"/>
            <w:shd w:fill="FFFFFF"/>
          </w:tcPr>
          <w:p>
            <w:pPr>
              <w:spacing w:after="0" w:before="0" w:line="259" w:lineRule="auto"/>
              <w:jc w:val="center"/>
            </w:pPr>
            <w:r>
              <w:rPr>
                <w:rFonts w:ascii="Calibri" w:hAnsi="Calibri" w:eastAsia="Songti SC"/>
                <w:color w:val="000000"/>
                <w:sz w:val="20"/>
              </w:rPr>
              <w:t>Device services</w:t>
            </w:r>
          </w:p>
        </w:tc>
        <w:tc>
          <w:tcPr>
            <w:tcW w:type="dxa" w:w="1944"/>
            <w:vAlign w:val="center"/>
            <w:shd w:fill="FFFFFF"/>
          </w:tcPr>
          <w:p>
            <w:pPr>
              <w:spacing w:after="0" w:before="0" w:line="259" w:lineRule="auto"/>
            </w:pPr>
            <w:r>
              <w:rPr>
                <w:rFonts w:ascii="Calibri" w:hAnsi="Calibri" w:eastAsia="Songti SC"/>
                <w:color w:val="000000"/>
                <w:sz w:val="20"/>
              </w:rPr>
              <w:t>Device-identity and task-adapter provider</w:t>
            </w:r>
          </w:p>
        </w:tc>
        <w:tc>
          <w:tcPr>
            <w:tcW w:type="dxa" w:w="1584"/>
            <w:vAlign w:val="center"/>
            <w:shd w:fill="FFFFFF"/>
          </w:tcPr>
          <w:p>
            <w:pPr>
              <w:spacing w:after="0" w:before="0" w:line="259" w:lineRule="auto"/>
            </w:pPr>
            <w:r>
              <w:rPr>
                <w:rFonts w:ascii="Calibri" w:hAnsi="Calibri" w:eastAsia="Songti SC"/>
                <w:color w:val="000000"/>
                <w:sz w:val="20"/>
              </w:rPr>
              <w:t>Device operator or industrial customer</w:t>
            </w:r>
          </w:p>
        </w:tc>
        <w:tc>
          <w:tcPr>
            <w:tcW w:type="dxa" w:w="2088"/>
            <w:vAlign w:val="center"/>
            <w:shd w:fill="FFFFFF"/>
          </w:tcPr>
          <w:p>
            <w:pPr>
              <w:spacing w:after="0" w:before="0" w:line="259" w:lineRule="auto"/>
            </w:pPr>
            <w:r>
              <w:rPr>
                <w:rFonts w:ascii="Calibri" w:hAnsi="Calibri" w:eastAsia="Songti SC"/>
                <w:color w:val="000000"/>
                <w:sz w:val="20"/>
              </w:rPr>
              <w:t>Device integration / authorized task</w:t>
            </w:r>
          </w:p>
        </w:tc>
        <w:tc>
          <w:tcPr>
            <w:tcW w:type="dxa" w:w="3312"/>
            <w:vAlign w:val="center"/>
            <w:shd w:fill="FFFFFF"/>
          </w:tcPr>
          <w:p>
            <w:pPr>
              <w:spacing w:after="0" w:before="0" w:line="259" w:lineRule="auto"/>
            </w:pPr>
            <w:r>
              <w:rPr>
                <w:rFonts w:ascii="Calibri" w:hAnsi="Calibri" w:eastAsia="Songti SC"/>
                <w:color w:val="000000"/>
                <w:sz w:val="20"/>
              </w:rPr>
              <w:t>Out-of-scope commands rejected; local safety responsibilities defined</w:t>
            </w:r>
          </w:p>
        </w:tc>
      </w:tr>
    </w:tbl>
    <w:p>
      <w:pPr>
        <w:widowControl/>
        <w:spacing w:after="20"/>
      </w:pPr>
    </w:p>
    <w:p>
      <w:pPr>
        <w:pStyle w:val="Heading1"/>
        <w:widowControl/>
      </w:pPr>
      <w:r>
        <w:rPr>
          <w:rFonts w:ascii="Calibri" w:hAnsi="Calibri" w:eastAsia="Songti SC"/>
          <w:color w:val="000000"/>
        </w:rPr>
        <w:t>26 Technical Implementation and Eight Application Demonstrations</w:t>
      </w:r>
    </w:p>
    <w:p>
      <w:pPr>
        <w:widowControl/>
      </w:pPr>
      <w:r>
        <w:rPr>
          <w:rFonts w:ascii="Calibri" w:hAnsi="Calibri" w:eastAsia="Songti SC"/>
          <w:color w:val="000000"/>
        </w:rPr>
        <w:t xml:space="preserve">Interactive reference prototype: </w:t>
      </w:r>
      <w:hyperlink r:id="rId12">
        <w:r>
          <w:rPr>
            <w:color w:val="24465E"/>
            <w:rFonts w:ascii="Calibri" w:eastAsia="Songti SC"/>
          </w:rPr>
          <w:t>https://chatgpt.com/space/page_508562e10774819199303889a5033b9f</w:t>
        </w:r>
      </w:hyperlink>
      <w:r>
        <w:rPr>
          <w:rFonts w:ascii="Calibri" w:hAnsi="Calibri" w:eastAsia="Songti SC"/>
          <w:color w:val="000000"/>
        </w:rPr>
        <w:t xml:space="preserve"> . Version 6.4 defaults to a separate NFT transaction profile and retains identity, content, data, supply-chain, Agent, compute and device workflows, for eight scenarios in total. Users can switch between Chinese and English, inspect signed events and export a review bundle. Identities, credentials, delivery, payments and dispute decisions are synthetic. The prototype does not connect to the company’s existing platform or a real chain, receive real funds, mint or transfer real NFTs, or execute real device or GPU tasks.</w:t>
      </w:r>
    </w:p>
    <w:p>
      <w:pPr>
        <w:widowControl/>
      </w:pPr>
      <w:r>
        <w:rPr>
          <w:rFonts w:ascii="Calibri" w:hAnsi="Calibri" w:eastAsia="Songti SC"/>
          <w:color w:val="000000"/>
        </w:rPr>
        <w:t>The browser uses WebCrypto to perform actual SHA-256 hashing and ECDSA P-256 signing and verification. Demonstration roles have separate session keys, but all remain under the control of the same browser; they do not constitute independent institutions or production isolation. Signatures can check the relationship between records and keys and detect tampering. They do not establish identity, copyright, physical delivery or the correctness of AI results.</w:t>
      </w:r>
    </w:p>
    <w:p>
      <w:pPr>
        <w:pStyle w:val="Caption"/>
        <w:widowControl/>
      </w:pPr>
      <w:r>
        <w:rPr>
          <w:rFonts w:ascii="Calibri" w:hAnsi="Calibri" w:eastAsia="Songti SC"/>
          <w:color w:val="000000"/>
        </w:rPr>
        <w:t>Figure 4. Actual default NFT scenario: one delivery accepted and its simulated receipt applied, with zero network fee</w:t>
      </w:r>
    </w:p>
    <w:p>
      <w:pPr>
        <w:widowControl/>
        <w:spacing w:after="160"/>
      </w:pPr>
      <w:r>
        <w:drawing>
          <wp:inline xmlns:a="http://schemas.openxmlformats.org/drawingml/2006/main" xmlns:pic="http://schemas.openxmlformats.org/drawingml/2006/picture">
            <wp:extent cx="6400800" cy="4558709"/>
            <wp:docPr id="4" name="Picture 4" descr="The actual v6.4 interface shows one synthetic NFT order, signed terms, delivery evidence and acceptance. Its separately authorized USD_TEST simulated payment is confirmed and applied, while the RWAIX_TEST network fee is zero. No real platform, chain, NFT or funds are connected, and no facility DCNFT rights are granted."/>
            <wp:cNvGraphicFramePr>
              <a:graphicFrameLocks noChangeAspect="1"/>
            </wp:cNvGraphicFramePr>
            <a:graphic>
              <a:graphicData uri="http://schemas.openxmlformats.org/drawingml/2006/picture">
                <pic:pic>
                  <pic:nvPicPr>
                    <pic:cNvPr id="0" name="demo-figure-en.png"/>
                    <pic:cNvPicPr/>
                  </pic:nvPicPr>
                  <pic:blipFill>
                    <a:blip r:embed="rId13"/>
                    <a:stretch>
                      <a:fillRect/>
                    </a:stretch>
                  </pic:blipFill>
                  <pic:spPr>
                    <a:xfrm>
                      <a:off x="0" y="0"/>
                      <a:ext cx="6400800" cy="4558709"/>
                    </a:xfrm>
                    <a:prstGeom prst="rect"/>
                  </pic:spPr>
                </pic:pic>
              </a:graphicData>
            </a:graphic>
          </wp:inline>
        </w:drawing>
      </w:r>
    </w:p>
    <w:p>
      <w:pPr>
        <w:pStyle w:val="Heading2"/>
        <w:widowControl/>
      </w:pPr>
      <w:r>
        <w:rPr>
          <w:rFonts w:ascii="Calibri" w:hAnsi="Calibri" w:eastAsia="Songti SC"/>
          <w:color w:val="000000"/>
        </w:rPr>
        <w:t>26 1 Observable Workflow and Separate Ledgers</w:t>
      </w:r>
    </w:p>
    <w:p>
      <w:pPr>
        <w:widowControl/>
      </w:pPr>
      <w:r>
        <w:rPr>
          <w:rFonts w:ascii="Calibri" w:hAnsi="Calibri" w:eastAsia="Songti SC"/>
          <w:color w:val="000000"/>
        </w:rPr>
        <w:t>The normal path is bind → commit → deliver → verify → accept → authorize → submit → reconcile → apply: bind synthetic qualifications and roles; have both parties sign the same terms digest; have the provider sign evidence for the current portion; check its digest and signature; obtain separate customer acceptance; obtain separate funds authorization; then reserve and simulate submission, reconcile receipt, and apply the receipt to the specified obligation. A TrustReceipt does not replace acceptance or funds authorization. The identity scenario has zero customer payment and zero network fee and completes after acceptance, without requiring token holdings or a meaningless payment.</w:t>
      </w:r>
    </w:p>
    <w:p>
      <w:pPr>
        <w:widowControl/>
      </w:pPr>
      <w:r>
        <w:rPr>
          <w:rFonts w:ascii="Calibri" w:hAnsi="Calibri" w:eastAsia="Songti SC"/>
          <w:color w:val="000000"/>
        </w:rPr>
        <w:t>Each of the eight scenarios defines an adapterPolicy included in the termsDigest signed by both parties. NFT transactions constrain the network, contract, tokenId, work digest, licence version and scope, seller-control claim and recipient; identity constrains qualifications and the relying institution; content constrains the work version, territory and sublicensing; data constrains purpose, recipient and query type; supply-chain delivery constrains the batch and inspection; Agents constrain tools, payees and subdelegation; compute constrains the challenge and output format; and devices constrain the task and local safety permission. Verification actually compares delivery evidence’s domain fields with the signed terms. Even when a replacement signature remains valid, out-of-scope evidence receives DENY and DOMAIN_POLICY_SCOPE_MISMATCH. This checks consistency between synthetic inputs and explicit rules, not the truth of real-world statements.</w:t>
      </w:r>
    </w:p>
    <w:p>
      <w:pPr>
        <w:widowControl/>
      </w:pPr>
      <w:r>
        <w:rPr>
          <w:rFonts w:ascii="Calibri" w:hAnsi="Calibri" w:eastAsia="Songti SC"/>
          <w:color w:val="000000"/>
        </w:rPr>
        <w:t>Customer payments use USD_TEST and network fees use RWAIX_TEST. These are synthetic test units with no conversion or redemption meaning, and are not displayed as real amounts using fiat-currency symbols. Each obligation retains its own obligationId, paymentAttemptId, limit and discharge records. Discharged amounts, executed but unapplied amounts, and pending payments that may still execute occupy mutually exclusive categories and collectively consume coverage. OUTCOME_UNKNOWN does not release reservations or permit resubmission using another asset. The compute scenario only displays a rights reference to a synthetic DCNFT series; it does not issue, mint or transfer DCNFT or allocate facility cash. RWAIX_TEST only demonstrates $RWAIX’s proposed network-fee function, not real token balances or market quotes.</w:t>
      </w:r>
    </w:p>
    <w:p>
      <w:pPr>
        <w:widowControl/>
      </w:pPr>
      <w:r>
        <w:rPr>
          <w:rFonts w:ascii="Calibri" w:hAnsi="Calibri" w:eastAsia="Songti SC"/>
          <w:color w:val="000000"/>
        </w:rPr>
        <w:t>The NFT transaction demonstration fixes one indivisible NFT, quantity 1 and exactly one portion, with transaction consideration of 12000 minimum USD_TEST units at precision 2 and a zero RWAIX_TEST network fee. The zero network fee illustrates that the initial NFT business need not issue $RWAIX; other scenarios retain separate accounting for optional network charges. The NFT adapterPolicy binds network, contract, tokenId, workDigest, licenceVersion, licenceScope, sellerControl and recipient, and fixes copyrightTransfer=false. Changes to the copyright-transfer flag or other constrained fields in signed delivery evidence are rejected. Seller-control and receipt records are synthetic claims; verification does not replace real-chain confirmation, copyright review or platform authority. No facility DCNFT minting, financing or distribution occurs.</w:t>
      </w:r>
    </w:p>
    <w:p>
      <w:pPr>
        <w:pStyle w:val="Heading2"/>
        <w:widowControl/>
      </w:pPr>
      <w:r>
        <w:rPr>
          <w:rFonts w:ascii="Calibri" w:hAnsi="Calibri" w:eastAsia="Songti SC"/>
          <w:color w:val="000000"/>
        </w:rPr>
        <w:t>26 2 Repeatable Operating Guide</w:t>
      </w:r>
    </w:p>
    <w:p>
      <w:pPr>
        <w:widowControl/>
      </w:pPr>
      <w:r>
        <w:rPr>
          <w:rFonts w:ascii="Calibri" w:hAnsi="Calibri" w:eastAsia="Songti SC"/>
          <w:color w:val="000000"/>
        </w:rPr>
        <w:t>Open the prototype in an environment supporting WebCrypto, select an application and start with “New local run”. Use a fresh workflow for each fault, perform the action at the prerequisite state below, and inspect the reason code, coverage and signed events. Compare actual results with the expectations below and retain the records. “Implementation scope” identifies the implemented portion and exclusions for each rule.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72"/>
        <w:gridCol w:w="3528"/>
        <w:gridCol w:w="4680"/>
      </w:tblGrid>
      <w:tr>
        <w:trPr>
          <w:cantSplit/>
          <w:tblHeader/>
        </w:trPr>
        <w:tc>
          <w:tcPr>
            <w:tcW w:type="dxa" w:w="1872"/>
            <w:vAlign w:val="center"/>
            <w:shd w:fill="E7EDF2"/>
          </w:tcPr>
          <w:p>
            <w:pPr>
              <w:spacing w:after="0" w:before="0" w:line="259" w:lineRule="auto"/>
            </w:pPr>
            <w:r>
              <w:rPr>
                <w:rFonts w:ascii="Calibri" w:hAnsi="Calibri" w:eastAsia="Songti SC"/>
                <w:b/>
                <w:color w:val="000000"/>
                <w:sz w:val="20"/>
              </w:rPr>
              <w:t>Action and Prerequisite</w:t>
            </w:r>
          </w:p>
        </w:tc>
        <w:tc>
          <w:tcPr>
            <w:tcW w:type="dxa" w:w="3528"/>
            <w:vAlign w:val="center"/>
            <w:shd w:fill="E7EDF2"/>
          </w:tcPr>
          <w:p>
            <w:pPr>
              <w:spacing w:after="0" w:before="0" w:line="259" w:lineRule="auto"/>
            </w:pPr>
            <w:r>
              <w:rPr>
                <w:rFonts w:ascii="Calibri" w:hAnsi="Calibri" w:eastAsia="Songti SC"/>
                <w:b/>
                <w:color w:val="000000"/>
                <w:sz w:val="20"/>
              </w:rPr>
              <w:t>Repeatable Steps</w:t>
            </w:r>
          </w:p>
        </w:tc>
        <w:tc>
          <w:tcPr>
            <w:tcW w:type="dxa" w:w="4680"/>
            <w:vAlign w:val="center"/>
            <w:shd w:fill="E7EDF2"/>
          </w:tcPr>
          <w:p>
            <w:pPr>
              <w:spacing w:after="0" w:before="0" w:line="259" w:lineRule="auto"/>
            </w:pPr>
            <w:r>
              <w:rPr>
                <w:rFonts w:ascii="Calibri" w:hAnsi="Calibri" w:eastAsia="Songti SC"/>
                <w:b/>
                <w:color w:val="000000"/>
                <w:sz w:val="20"/>
              </w:rPr>
              <w:t>Expected Observation</w:t>
            </w:r>
          </w:p>
        </w:tc>
      </w:tr>
      <w:tr>
        <w:trPr>
          <w:cantSplit/>
        </w:trPr>
        <w:tc>
          <w:tcPr>
            <w:tcW w:type="dxa" w:w="1872"/>
            <w:vAlign w:val="center"/>
            <w:shd w:fill="FFFFFF"/>
          </w:tcPr>
          <w:p>
            <w:pPr>
              <w:spacing w:after="0" w:before="0" w:line="259" w:lineRule="auto"/>
            </w:pPr>
            <w:r>
              <w:rPr>
                <w:rFonts w:ascii="Calibri" w:hAnsi="Calibri" w:eastAsia="Songti SC"/>
                <w:color w:val="000000"/>
                <w:sz w:val="20"/>
              </w:rPr>
              <w:t>Normal path</w:t>
            </w:r>
          </w:p>
        </w:tc>
        <w:tc>
          <w:tcPr>
            <w:tcW w:type="dxa" w:w="3528"/>
            <w:vAlign w:val="center"/>
            <w:shd w:fill="FFFFFF"/>
          </w:tcPr>
          <w:p>
            <w:pPr>
              <w:spacing w:after="0" w:before="0" w:line="259" w:lineRule="auto"/>
            </w:pPr>
            <w:r>
              <w:rPr>
                <w:rFonts w:ascii="Calibri" w:hAnsi="Calibri" w:eastAsia="Songti SC"/>
                <w:color w:val="000000"/>
                <w:sz w:val="20"/>
              </w:rPr>
              <w:t>The default NFT order has one portion; complete it with the main button. Advance to the next portion only in two-portion scenarios; identity ends at acceptance</w:t>
            </w:r>
          </w:p>
        </w:tc>
        <w:tc>
          <w:tcPr>
            <w:tcW w:type="dxa" w:w="4680"/>
            <w:vAlign w:val="center"/>
            <w:shd w:fill="FFFFFF"/>
          </w:tcPr>
          <w:p>
            <w:pPr>
              <w:spacing w:after="0" w:before="0" w:line="259" w:lineRule="auto"/>
            </w:pPr>
            <w:r>
              <w:rPr>
                <w:rFonts w:ascii="Calibri" w:hAnsi="Calibri" w:eastAsia="Songti SC"/>
                <w:color w:val="000000"/>
                <w:sz w:val="20"/>
              </w:rPr>
              <w:t>Separate records for commitment, evidence, acceptance, funds authorization, execution and discharge; distinct obligations remain separate</w:t>
            </w:r>
          </w:p>
        </w:tc>
      </w:tr>
      <w:tr>
        <w:trPr>
          <w:cantSplit/>
        </w:trPr>
        <w:tc>
          <w:tcPr>
            <w:tcW w:type="dxa" w:w="1872"/>
            <w:vAlign w:val="center"/>
            <w:shd w:fill="FFFFFF"/>
          </w:tcPr>
          <w:p>
            <w:pPr>
              <w:spacing w:after="0" w:before="0" w:line="259" w:lineRule="auto"/>
            </w:pPr>
            <w:r>
              <w:rPr>
                <w:rFonts w:ascii="Calibri" w:hAnsi="Calibri" w:eastAsia="Songti SC"/>
                <w:color w:val="000000"/>
                <w:sz w:val="20"/>
              </w:rPr>
              <w:t>Tampering or missing evidence; delivery completed</w:t>
            </w:r>
          </w:p>
        </w:tc>
        <w:tc>
          <w:tcPr>
            <w:tcW w:type="dxa" w:w="3528"/>
            <w:vAlign w:val="center"/>
            <w:shd w:fill="FFFFFF"/>
          </w:tcPr>
          <w:p>
            <w:pPr>
              <w:spacing w:after="0" w:before="0" w:line="259" w:lineRule="auto"/>
            </w:pPr>
            <w:r>
              <w:rPr>
                <w:rFonts w:ascii="Calibri" w:hAnsi="Calibri" w:eastAsia="Songti SC"/>
                <w:color w:val="000000"/>
                <w:sz w:val="20"/>
              </w:rPr>
              <w:t>Select “Tamper and verify” or “Hide required evidence”, then restore the signed evidence</w:t>
            </w:r>
          </w:p>
        </w:tc>
        <w:tc>
          <w:tcPr>
            <w:tcW w:type="dxa" w:w="4680"/>
            <w:vAlign w:val="center"/>
            <w:shd w:fill="FFFFFF"/>
          </w:tcPr>
          <w:p>
            <w:pPr>
              <w:spacing w:after="0" w:before="0" w:line="259" w:lineRule="auto"/>
            </w:pPr>
            <w:r>
              <w:rPr>
                <w:rFonts w:ascii="Calibri" w:hAnsi="Calibri" w:eastAsia="Songti SC"/>
                <w:color w:val="000000"/>
                <w:sz w:val="20"/>
              </w:rPr>
              <w:t>Tampering is not allowed; missing evidence is indeterminate. Restoration requires verification again, and an error does not become acceptance</w:t>
            </w:r>
          </w:p>
        </w:tc>
      </w:tr>
      <w:tr>
        <w:trPr>
          <w:cantSplit/>
        </w:trPr>
        <w:tc>
          <w:tcPr>
            <w:tcW w:type="dxa" w:w="1872"/>
            <w:vAlign w:val="center"/>
            <w:shd w:fill="FFFFFF"/>
          </w:tcPr>
          <w:p>
            <w:pPr>
              <w:spacing w:after="0" w:before="0" w:line="259" w:lineRule="auto"/>
            </w:pPr>
            <w:r>
              <w:rPr>
                <w:rFonts w:ascii="Calibri" w:hAnsi="Calibri" w:eastAsia="Songti SC"/>
                <w:color w:val="000000"/>
                <w:sz w:val="20"/>
              </w:rPr>
              <w:t>Valid signature, wrong scope; delivery completed</w:t>
            </w:r>
          </w:p>
        </w:tc>
        <w:tc>
          <w:tcPr>
            <w:tcW w:type="dxa" w:w="3528"/>
            <w:vAlign w:val="center"/>
            <w:shd w:fill="FFFFFF"/>
          </w:tcPr>
          <w:p>
            <w:pPr>
              <w:spacing w:after="0" w:before="0" w:line="259" w:lineRule="auto"/>
            </w:pPr>
            <w:r>
              <w:rPr>
                <w:rFonts w:ascii="Calibri" w:hAnsi="Calibri" w:eastAsia="Songti SC"/>
                <w:color w:val="000000"/>
                <w:sz w:val="20"/>
              </w:rPr>
              <w:t>Select “Valid signature, wrong scope” and inspect the newly signed evidence and reason code</w:t>
            </w:r>
          </w:p>
        </w:tc>
        <w:tc>
          <w:tcPr>
            <w:tcW w:type="dxa" w:w="4680"/>
            <w:vAlign w:val="center"/>
            <w:shd w:fill="FFFFFF"/>
          </w:tcPr>
          <w:p>
            <w:pPr>
              <w:spacing w:after="0" w:before="0" w:line="259" w:lineRule="auto"/>
            </w:pPr>
            <w:r>
              <w:rPr>
                <w:rFonts w:ascii="Calibri" w:hAnsi="Calibri" w:eastAsia="Songti SC"/>
                <w:color w:val="000000"/>
                <w:sz w:val="20"/>
              </w:rPr>
              <w:t>The signature remains valid, but domain policy rejects it: DENY / DOMAIN_POLICY_SCOPE_MISMATCH; no acceptance or payment authority is created</w:t>
            </w:r>
          </w:p>
        </w:tc>
      </w:tr>
      <w:tr>
        <w:trPr>
          <w:cantSplit/>
        </w:trPr>
        <w:tc>
          <w:tcPr>
            <w:tcW w:type="dxa" w:w="1872"/>
            <w:vAlign w:val="center"/>
            <w:shd w:fill="FFFFFF"/>
          </w:tcPr>
          <w:p>
            <w:pPr>
              <w:spacing w:after="0" w:before="0" w:line="259" w:lineRule="auto"/>
            </w:pPr>
            <w:r>
              <w:rPr>
                <w:rFonts w:ascii="Calibri" w:hAnsi="Calibri" w:eastAsia="Songti SC"/>
                <w:color w:val="000000"/>
                <w:sz w:val="20"/>
              </w:rPr>
              <w:t>Revocation; before payment submission</w:t>
            </w:r>
          </w:p>
        </w:tc>
        <w:tc>
          <w:tcPr>
            <w:tcW w:type="dxa" w:w="3528"/>
            <w:vAlign w:val="center"/>
            <w:shd w:fill="FFFFFF"/>
          </w:tcPr>
          <w:p>
            <w:pPr>
              <w:spacing w:after="0" w:before="0" w:line="259" w:lineRule="auto"/>
            </w:pPr>
            <w:r>
              <w:rPr>
                <w:rFonts w:ascii="Calibri" w:hAnsi="Calibri" w:eastAsia="Songti SC"/>
                <w:color w:val="000000"/>
                <w:sz w:val="20"/>
              </w:rPr>
              <w:t>Select “Revoke execution authority”, then attempt new acceptance, authorization or submission</w:t>
            </w:r>
          </w:p>
        </w:tc>
        <w:tc>
          <w:tcPr>
            <w:tcW w:type="dxa" w:w="4680"/>
            <w:vAlign w:val="center"/>
            <w:shd w:fill="FFFFFF"/>
          </w:tcPr>
          <w:p>
            <w:pPr>
              <w:spacing w:after="0" w:before="0" w:line="259" w:lineRule="auto"/>
            </w:pPr>
            <w:r>
              <w:rPr>
                <w:rFonts w:ascii="Calibri" w:hAnsi="Calibri" w:eastAsia="Songti SC"/>
                <w:color w:val="000000"/>
                <w:sz w:val="20"/>
              </w:rPr>
              <w:t>Current-authority checks block new execution; existing records and payments are not erased</w:t>
            </w:r>
          </w:p>
        </w:tc>
      </w:tr>
      <w:tr>
        <w:trPr>
          <w:cantSplit/>
        </w:trPr>
        <w:tc>
          <w:tcPr>
            <w:tcW w:type="dxa" w:w="1872"/>
            <w:vAlign w:val="center"/>
            <w:shd w:fill="FFFFFF"/>
          </w:tcPr>
          <w:p>
            <w:pPr>
              <w:spacing w:after="0" w:before="0" w:line="259" w:lineRule="auto"/>
            </w:pPr>
            <w:r>
              <w:rPr>
                <w:rFonts w:ascii="Calibri" w:hAnsi="Calibri" w:eastAsia="Songti SC"/>
                <w:color w:val="000000"/>
                <w:sz w:val="20"/>
              </w:rPr>
              <w:t>Unknown outcome; before first submission</w:t>
            </w:r>
          </w:p>
        </w:tc>
        <w:tc>
          <w:tcPr>
            <w:tcW w:type="dxa" w:w="3528"/>
            <w:vAlign w:val="center"/>
            <w:shd w:fill="FFFFFF"/>
          </w:tcPr>
          <w:p>
            <w:pPr>
              <w:spacing w:after="0" w:before="0" w:line="259" w:lineRule="auto"/>
            </w:pPr>
            <w:r>
              <w:rPr>
                <w:rFonts w:ascii="Calibri" w:hAnsi="Calibri" w:eastAsia="Songti SC"/>
                <w:color w:val="000000"/>
                <w:sz w:val="20"/>
              </w:rPr>
              <w:t>Select “Next outcome unknown”, submit, inspect the separate ledgers, then reconcile</w:t>
            </w:r>
          </w:p>
        </w:tc>
        <w:tc>
          <w:tcPr>
            <w:tcW w:type="dxa" w:w="4680"/>
            <w:vAlign w:val="center"/>
            <w:shd w:fill="FFFFFF"/>
          </w:tcPr>
          <w:p>
            <w:pPr>
              <w:spacing w:after="0" w:before="0" w:line="259" w:lineRule="auto"/>
            </w:pPr>
            <w:r>
              <w:rPr>
                <w:rFonts w:ascii="Calibri" w:hAnsi="Calibri" w:eastAsia="Songti SC"/>
                <w:color w:val="000000"/>
                <w:sz w:val="20"/>
              </w:rPr>
              <w:t>OUTCOME_UNKNOWN retains coverage; simulated receipt confirmation remains unapplied, and discharge is recorded only after apply</w:t>
            </w:r>
          </w:p>
        </w:tc>
      </w:tr>
      <w:tr>
        <w:trPr>
          <w:cantSplit/>
        </w:trPr>
        <w:tc>
          <w:tcPr>
            <w:tcW w:type="dxa" w:w="1872"/>
            <w:vAlign w:val="center"/>
            <w:shd w:fill="FFFFFF"/>
          </w:tcPr>
          <w:p>
            <w:pPr>
              <w:spacing w:after="0" w:before="0" w:line="259" w:lineRule="auto"/>
            </w:pPr>
            <w:r>
              <w:rPr>
                <w:rFonts w:ascii="Calibri" w:hAnsi="Calibri" w:eastAsia="Songti SC"/>
                <w:color w:val="000000"/>
                <w:sz w:val="20"/>
              </w:rPr>
              <w:t>Duplicate or alternate asset; a payment attempt exists</w:t>
            </w:r>
          </w:p>
        </w:tc>
        <w:tc>
          <w:tcPr>
            <w:tcW w:type="dxa" w:w="3528"/>
            <w:vAlign w:val="center"/>
            <w:shd w:fill="FFFFFF"/>
          </w:tcPr>
          <w:p>
            <w:pPr>
              <w:spacing w:after="0" w:before="0" w:line="259" w:lineRule="auto"/>
            </w:pPr>
            <w:r>
              <w:rPr>
                <w:rFonts w:ascii="Calibri" w:hAnsi="Calibri" w:eastAsia="Songti SC"/>
                <w:color w:val="000000"/>
                <w:sz w:val="20"/>
              </w:rPr>
              <w:t>Select “Retry original instruction”, then “Try another payment asset”</w:t>
            </w:r>
          </w:p>
        </w:tc>
        <w:tc>
          <w:tcPr>
            <w:tcW w:type="dxa" w:w="4680"/>
            <w:vAlign w:val="center"/>
            <w:shd w:fill="FFFFFF"/>
          </w:tcPr>
          <w:p>
            <w:pPr>
              <w:spacing w:after="0" w:before="0" w:line="259" w:lineRule="auto"/>
            </w:pPr>
            <w:r>
              <w:rPr>
                <w:rFonts w:ascii="Calibri" w:hAnsi="Calibri" w:eastAsia="Songti SC"/>
                <w:color w:val="000000"/>
                <w:sz w:val="20"/>
              </w:rPr>
              <w:t>The original instruction reuses its existing attempt without a second payment; an unauthorized asset change is rejected</w:t>
            </w:r>
          </w:p>
        </w:tc>
      </w:tr>
      <w:tr>
        <w:trPr>
          <w:cantSplit/>
        </w:trPr>
        <w:tc>
          <w:tcPr>
            <w:tcW w:type="dxa" w:w="1872"/>
            <w:vAlign w:val="center"/>
            <w:shd w:fill="FFFFFF"/>
          </w:tcPr>
          <w:p>
            <w:pPr>
              <w:spacing w:after="0" w:before="0" w:line="259" w:lineRule="auto"/>
            </w:pPr>
            <w:r>
              <w:rPr>
                <w:rFonts w:ascii="Calibri" w:hAnsi="Calibri" w:eastAsia="Songti SC"/>
                <w:color w:val="000000"/>
                <w:sz w:val="20"/>
              </w:rPr>
              <w:t>Dispute; transaction terms committed</w:t>
            </w:r>
          </w:p>
        </w:tc>
        <w:tc>
          <w:tcPr>
            <w:tcW w:type="dxa" w:w="3528"/>
            <w:vAlign w:val="center"/>
            <w:shd w:fill="FFFFFF"/>
          </w:tcPr>
          <w:p>
            <w:pPr>
              <w:spacing w:after="0" w:before="0" w:line="259" w:lineRule="auto"/>
            </w:pPr>
            <w:r>
              <w:rPr>
                <w:rFonts w:ascii="Calibri" w:hAnsi="Calibri" w:eastAsia="Songti SC"/>
                <w:color w:val="000000"/>
                <w:sz w:val="20"/>
              </w:rPr>
              <w:t>Select “Dispute this portion”, try to advance, then simulate review and resume</w:t>
            </w:r>
          </w:p>
        </w:tc>
        <w:tc>
          <w:tcPr>
            <w:tcW w:type="dxa" w:w="4680"/>
            <w:vAlign w:val="center"/>
            <w:shd w:fill="FFFFFF"/>
          </w:tcPr>
          <w:p>
            <w:pPr>
              <w:spacing w:after="0" w:before="0" w:line="259" w:lineRule="auto"/>
            </w:pPr>
            <w:r>
              <w:rPr>
                <w:rFonts w:ascii="Calibri" w:hAnsi="Calibri" w:eastAsia="Songti SC"/>
                <w:color w:val="000000"/>
                <w:sz w:val="20"/>
              </w:rPr>
              <w:t>New execution and receipt application pause for that portion; history and coverage remain. Resumption appends a record without an automatic refund</w:t>
            </w:r>
          </w:p>
        </w:tc>
      </w:tr>
      <w:tr>
        <w:trPr>
          <w:cantSplit/>
        </w:trPr>
        <w:tc>
          <w:tcPr>
            <w:tcW w:type="dxa" w:w="1872"/>
            <w:vAlign w:val="center"/>
            <w:shd w:fill="FFFFFF"/>
          </w:tcPr>
          <w:p>
            <w:pPr>
              <w:spacing w:after="0" w:before="0" w:line="259" w:lineRule="auto"/>
            </w:pPr>
            <w:r>
              <w:rPr>
                <w:rFonts w:ascii="Calibri" w:hAnsi="Calibri" w:eastAsia="Songti SC"/>
                <w:color w:val="000000"/>
                <w:sz w:val="20"/>
              </w:rPr>
              <w:t>Evidence export</w:t>
            </w:r>
          </w:p>
        </w:tc>
        <w:tc>
          <w:tcPr>
            <w:tcW w:type="dxa" w:w="3528"/>
            <w:vAlign w:val="center"/>
            <w:shd w:fill="FFFFFF"/>
          </w:tcPr>
          <w:p>
            <w:pPr>
              <w:spacing w:after="0" w:before="0" w:line="259" w:lineRule="auto"/>
            </w:pPr>
            <w:r>
              <w:rPr>
                <w:rFonts w:ascii="Calibri" w:hAnsi="Calibri" w:eastAsia="Songti SC"/>
                <w:color w:val="000000"/>
                <w:sz w:val="20"/>
              </w:rPr>
              <w:t>Export the review bundle under “Implementation scope”; copy or download JSON</w:t>
            </w:r>
          </w:p>
        </w:tc>
        <w:tc>
          <w:tcPr>
            <w:tcW w:type="dxa" w:w="4680"/>
            <w:vAlign w:val="center"/>
            <w:shd w:fill="FFFFFF"/>
          </w:tcPr>
          <w:p>
            <w:pPr>
              <w:spacing w:after="0" w:before="0" w:line="259" w:lineRule="auto"/>
            </w:pPr>
            <w:r>
              <w:rPr>
                <w:rFonts w:ascii="Calibri" w:hAnsi="Calibri" w:eastAsia="Songti SC"/>
                <w:color w:val="000000"/>
                <w:sz w:val="20"/>
              </w:rPr>
              <w:t>A snapshot, events, public keys and scope disclosures, without private keys; export alone does not establish successful third-party review</w:t>
            </w:r>
          </w:p>
        </w:tc>
      </w:tr>
    </w:tbl>
    <w:p>
      <w:pPr>
        <w:widowControl/>
        <w:spacing w:after="20"/>
      </w:pPr>
    </w:p>
    <w:p>
      <w:pPr>
        <w:pStyle w:val="Heading2"/>
        <w:widowControl/>
      </w:pPr>
      <w:r>
        <w:rPr>
          <w:rFonts w:ascii="Calibri" w:hAnsi="Calibri" w:eastAsia="Songti SC"/>
          <w:color w:val="000000"/>
        </w:rPr>
        <w:t>26 3 Delivery Gates from Browser Prototype to Limited Pilot</w:t>
      </w:r>
    </w:p>
    <w:p>
      <w:pPr>
        <w:widowControl/>
      </w:pPr>
      <w:r>
        <w:rPr>
          <w:rFonts w:ascii="Calibri" w:hAnsi="Calibri" w:eastAsia="Songti SC"/>
          <w:color w:val="000000"/>
        </w:rPr>
        <w:t>The first stage fixes a reviewable browser version, synthetic data, operating scripts, export format and results for each case. Current transaction state exists only within the session and is cleared by refresh or a new run. At most, language and application preferences may sync through the host, not transaction ledgers or private keys. The prototype does not implement production persistence, cross-process recovery, distributed concurrency, independent institutional key control, real chains and payment rails, or verification of real identity and asset rights. It makes no claim to full N01–N10 certification.</w:t>
      </w:r>
    </w:p>
    <w:p>
      <w:pPr>
        <w:widowControl/>
      </w:pPr>
      <w:r>
        <w:rPr>
          <w:rFonts w:ascii="Calibri" w:hAnsi="Calibri" w:eastAsia="Songti SC"/>
          <w:color w:val="000000"/>
        </w:rPr>
        <w:t>The frozen v6.4 local Node/WebCrypto record reports 50 of 50 tests passed, with no failures. Browser records cover all eight scenarios and NFT cases in which unknown payments retain coverage, retries reuse one attempt, asset switching is rejected, disputes block receipt attribution, and validly signed out-of-scope evidence is denied. Chinese and English layouts showed no horizontal overflow at viewport widths of 320 and 736 pixels; this is browser layout testing, not physical-device or production-performance certification. For one exported NFT review bundle, the same-lineage offline verifier passed all 36 signature, digest, event-chain and coverage checks. It is not a second independent protocol implementation and does not verify real-world rights. N01–N08 and N10 remain PARTIAL, while N09 is LIMITED_TEST. Records accompany this version’s source, test and coverage manifests; test counts do not replace independent security review or full conformance certification.</w:t>
      </w:r>
    </w:p>
    <w:p>
      <w:pPr>
        <w:widowControl/>
      </w:pPr>
      <w:r>
        <w:rPr>
          <w:rFonts w:ascii="Calibri" w:hAnsi="Calibri" w:eastAsia="Songti SC"/>
          <w:color w:val="000000"/>
        </w:rPr>
        <w:t>The next stage freezes machine-readable schemas, role permissions and test vectors; adds persistent intents, recovery, concurrent budgets and sandbox adapters for real external interfaces; and completes independent security review. Two independent implementations then exchange the same evidence packages and report successes, failures and unsupported cases. Browser serialization and signatures from multiple local roles cannot replace this stage’s isolation, durability and interoperability validation.</w:t>
      </w:r>
    </w:p>
    <w:p>
      <w:pPr>
        <w:widowControl/>
      </w:pPr>
      <w:r>
        <w:rPr>
          <w:rFonts w:ascii="Calibri" w:hAnsi="Calibri" w:eastAsia="Songti SC"/>
          <w:color w:val="000000"/>
        </w:rPr>
        <w:t>Before a limited industry pilot, establish actual contracting parties, industry qualifications, data use and asset rights, together with separate acceptance, funds authorization, complaints, disputes and exit arrangements, and register technical and commercial measures in advance. The number of browser demonstrations does not change the initial independent-validation route: NFT transactions; work provenance and licensing; and institutional qualifications with Agent delegation. Compute is a subsequent extension. Pilots then test the Section 25 model against actual delivery, payment, maintenance cost and portability; wider deployment and standardization follow Section 24.</w:t>
      </w:r>
    </w:p>
    <w:p>
      <w:pPr>
        <w:pStyle w:val="Heading1"/>
        <w:widowControl/>
      </w:pPr>
      <w:r>
        <w:rPr>
          <w:rFonts w:ascii="Calibri" w:hAnsi="Calibri" w:eastAsia="Songti SC"/>
          <w:color w:val="000000"/>
        </w:rPr>
        <w:t>Reference Standards Technology and Regulatory Sources</w:t>
      </w:r>
    </w:p>
    <w:p>
      <w:pPr>
        <w:widowControl/>
      </w:pPr>
      <w:r>
        <w:rPr>
          <w:rFonts w:ascii="Calibri" w:hAnsi="Calibri" w:eastAsia="Songti SC"/>
          <w:color w:val="000000"/>
        </w:rPr>
        <w:t>The following standards and existing technologies were reviewed on 11 October 2026 to define component capabilities and comparison baselines. A citation does not imply endorsement of RWAIX by a standards body or certification of this protocol. Each compatibility profile must fix the applicable versions and pass the relevant tests. S20 is a Commission interpretation; S21 is a nonbinding SEC staff statement. Neither citation represents project-specific approval. S22 to S27 inform requirement levels, business-document mappings, legal boundaries and open governance. Model laws depend on local enactment and do not take effect merely through citation. S28 to S33 provide industry context. Their periods, forecast status and statistical boundaries appear in Section 25; they are not added into an addressable project market.</w:t>
      </w:r>
    </w:p>
    <w:p>
      <w:pPr>
        <w:widowControl/>
        <w:spacing w:after="160"/>
      </w:pPr>
      <w:r>
        <w:rPr>
          <w:rFonts w:ascii="Calibri" w:hAnsi="Calibri" w:eastAsia="Songti SC"/>
          <w:b/>
          <w:color w:val="000000"/>
          <w:sz w:val="20"/>
        </w:rPr>
        <w:t xml:space="preserve">S1  </w:t>
      </w:r>
      <w:hyperlink r:id="rId14">
        <w:r>
          <w:rPr>
            <w:color w:val="24465E"/>
            <w:rFonts w:ascii="Calibri" w:eastAsia="Songti SC"/>
          </w:rPr>
          <w:t>W3C DID Core v1.0</w:t>
        </w:r>
      </w:hyperlink>
    </w:p>
    <w:p>
      <w:pPr>
        <w:widowControl/>
        <w:spacing w:after="160"/>
      </w:pPr>
      <w:r>
        <w:rPr>
          <w:rFonts w:ascii="Calibri" w:hAnsi="Calibri" w:eastAsia="Songti SC"/>
          <w:b/>
          <w:color w:val="000000"/>
          <w:sz w:val="20"/>
        </w:rPr>
        <w:t xml:space="preserve">S2  </w:t>
      </w:r>
      <w:hyperlink r:id="rId15">
        <w:r>
          <w:rPr>
            <w:color w:val="24465E"/>
            <w:rFonts w:ascii="Calibri" w:eastAsia="Songti SC"/>
          </w:rPr>
          <w:t>W3C Verifiable Credentials Data Model v2.0</w:t>
        </w:r>
      </w:hyperlink>
    </w:p>
    <w:p>
      <w:pPr>
        <w:widowControl/>
        <w:spacing w:after="160"/>
      </w:pPr>
      <w:r>
        <w:rPr>
          <w:rFonts w:ascii="Calibri" w:hAnsi="Calibri" w:eastAsia="Songti SC"/>
          <w:b/>
          <w:color w:val="000000"/>
          <w:sz w:val="20"/>
        </w:rPr>
        <w:t xml:space="preserve">S3  </w:t>
      </w:r>
      <w:hyperlink r:id="rId16">
        <w:r>
          <w:rPr>
            <w:color w:val="24465E"/>
            <w:rFonts w:ascii="Calibri" w:eastAsia="Songti SC"/>
          </w:rPr>
          <w:t>W3C Bitstring Status List v1.0</w:t>
        </w:r>
      </w:hyperlink>
    </w:p>
    <w:p>
      <w:pPr>
        <w:widowControl/>
        <w:spacing w:after="160"/>
      </w:pPr>
      <w:r>
        <w:rPr>
          <w:rFonts w:ascii="Calibri" w:hAnsi="Calibri" w:eastAsia="Songti SC"/>
          <w:b/>
          <w:color w:val="000000"/>
          <w:sz w:val="20"/>
        </w:rPr>
        <w:t xml:space="preserve">S4  </w:t>
      </w:r>
      <w:hyperlink r:id="rId17">
        <w:r>
          <w:rPr>
            <w:color w:val="24465E"/>
            <w:rFonts w:ascii="Calibri" w:eastAsia="Songti SC"/>
          </w:rPr>
          <w:t>ERC-721 — Non-Fungible Token Standard</w:t>
        </w:r>
      </w:hyperlink>
    </w:p>
    <w:p>
      <w:pPr>
        <w:widowControl/>
        <w:spacing w:after="160"/>
      </w:pPr>
      <w:r>
        <w:rPr>
          <w:rFonts w:ascii="Calibri" w:hAnsi="Calibri" w:eastAsia="Songti SC"/>
          <w:b/>
          <w:color w:val="000000"/>
          <w:sz w:val="20"/>
        </w:rPr>
        <w:t xml:space="preserve">S5  </w:t>
      </w:r>
      <w:hyperlink r:id="rId18">
        <w:r>
          <w:rPr>
            <w:color w:val="24465E"/>
            <w:rFonts w:ascii="Calibri" w:eastAsia="Songti SC"/>
          </w:rPr>
          <w:t>ERC-1155 — Multi Token Standard</w:t>
        </w:r>
      </w:hyperlink>
    </w:p>
    <w:p>
      <w:pPr>
        <w:widowControl/>
        <w:spacing w:after="160"/>
      </w:pPr>
      <w:r>
        <w:rPr>
          <w:rFonts w:ascii="Calibri" w:hAnsi="Calibri" w:eastAsia="Songti SC"/>
          <w:b/>
          <w:color w:val="000000"/>
          <w:sz w:val="20"/>
        </w:rPr>
        <w:t xml:space="preserve">S6  </w:t>
      </w:r>
      <w:hyperlink r:id="rId19">
        <w:r>
          <w:rPr>
            <w:color w:val="24465E"/>
            <w:rFonts w:ascii="Calibri" w:eastAsia="Songti SC"/>
          </w:rPr>
          <w:t>ERC-5192 — Minimal Soulbound NFTs</w:t>
        </w:r>
      </w:hyperlink>
    </w:p>
    <w:p>
      <w:pPr>
        <w:widowControl/>
        <w:spacing w:after="160"/>
      </w:pPr>
      <w:r>
        <w:rPr>
          <w:rFonts w:ascii="Calibri" w:hAnsi="Calibri" w:eastAsia="Songti SC"/>
          <w:b/>
          <w:color w:val="000000"/>
          <w:sz w:val="20"/>
        </w:rPr>
        <w:t xml:space="preserve">S7  </w:t>
      </w:r>
      <w:hyperlink r:id="rId20">
        <w:r>
          <w:rPr>
            <w:color w:val="24465E"/>
            <w:rFonts w:ascii="Calibri" w:eastAsia="Songti SC"/>
          </w:rPr>
          <w:t>ERC-5484 — Consensual Soulbound Tokens</w:t>
        </w:r>
      </w:hyperlink>
    </w:p>
    <w:p>
      <w:pPr>
        <w:widowControl/>
        <w:spacing w:after="160"/>
      </w:pPr>
      <w:r>
        <w:rPr>
          <w:rFonts w:ascii="Calibri" w:hAnsi="Calibri" w:eastAsia="Songti SC"/>
          <w:b/>
          <w:color w:val="000000"/>
          <w:sz w:val="20"/>
        </w:rPr>
        <w:t xml:space="preserve">S8  </w:t>
      </w:r>
      <w:hyperlink r:id="rId21">
        <w:r>
          <w:rPr>
            <w:color w:val="24465E"/>
            <w:rFonts w:ascii="Calibri" w:eastAsia="Songti SC"/>
          </w:rPr>
          <w:t>ERC-1271 — Standard Signature Validation Method for Contracts</w:t>
        </w:r>
      </w:hyperlink>
    </w:p>
    <w:p>
      <w:pPr>
        <w:widowControl/>
        <w:spacing w:after="160"/>
      </w:pPr>
      <w:r>
        <w:rPr>
          <w:rFonts w:ascii="Calibri" w:hAnsi="Calibri" w:eastAsia="Songti SC"/>
          <w:b/>
          <w:color w:val="000000"/>
          <w:sz w:val="20"/>
        </w:rPr>
        <w:t xml:space="preserve">S9  </w:t>
      </w:r>
      <w:hyperlink r:id="rId22">
        <w:r>
          <w:rPr>
            <w:color w:val="24465E"/>
            <w:rFonts w:ascii="Calibri" w:eastAsia="Songti SC"/>
          </w:rPr>
          <w:t>ERC-4337 — Account Abstraction Using Alt Mempool</w:t>
        </w:r>
      </w:hyperlink>
    </w:p>
    <w:p>
      <w:pPr>
        <w:widowControl/>
        <w:spacing w:after="160"/>
      </w:pPr>
      <w:r>
        <w:rPr>
          <w:rFonts w:ascii="Calibri" w:hAnsi="Calibri" w:eastAsia="Songti SC"/>
          <w:b/>
          <w:color w:val="000000"/>
          <w:sz w:val="20"/>
        </w:rPr>
        <w:t xml:space="preserve">S10  </w:t>
      </w:r>
      <w:hyperlink r:id="rId23">
        <w:r>
          <w:rPr>
            <w:color w:val="24465E"/>
            <w:rFonts w:ascii="Calibri" w:eastAsia="Songti SC"/>
          </w:rPr>
          <w:t>Ethereum Attestation Service — Official SDK</w:t>
        </w:r>
      </w:hyperlink>
    </w:p>
    <w:p>
      <w:pPr>
        <w:widowControl/>
        <w:spacing w:after="160"/>
      </w:pPr>
      <w:r>
        <w:rPr>
          <w:rFonts w:ascii="Calibri" w:hAnsi="Calibri" w:eastAsia="Songti SC"/>
          <w:b/>
          <w:color w:val="000000"/>
          <w:sz w:val="20"/>
        </w:rPr>
        <w:t xml:space="preserve">S11  </w:t>
      </w:r>
      <w:hyperlink r:id="rId24">
        <w:r>
          <w:rPr>
            <w:color w:val="24465E"/>
            <w:rFonts w:ascii="Calibri" w:eastAsia="Songti SC"/>
          </w:rPr>
          <w:t>Sign Protocol — Official Evidence Layer Product Documentation</w:t>
        </w:r>
      </w:hyperlink>
    </w:p>
    <w:p>
      <w:pPr>
        <w:widowControl/>
        <w:spacing w:after="160"/>
      </w:pPr>
      <w:r>
        <w:rPr>
          <w:rFonts w:ascii="Calibri" w:hAnsi="Calibri" w:eastAsia="Songti SC"/>
          <w:b/>
          <w:color w:val="000000"/>
          <w:sz w:val="20"/>
        </w:rPr>
        <w:t xml:space="preserve">S12  </w:t>
      </w:r>
      <w:hyperlink r:id="rId25">
        <w:r>
          <w:rPr>
            <w:color w:val="24465E"/>
            <w:rFonts w:ascii="Calibri" w:eastAsia="Songti SC"/>
          </w:rPr>
          <w:t>EIP-712 — Typed structured data hashing and signing</w:t>
        </w:r>
      </w:hyperlink>
    </w:p>
    <w:p>
      <w:pPr>
        <w:widowControl/>
        <w:spacing w:after="160"/>
      </w:pPr>
      <w:r>
        <w:rPr>
          <w:rFonts w:ascii="Calibri" w:hAnsi="Calibri" w:eastAsia="Songti SC"/>
          <w:b/>
          <w:color w:val="000000"/>
          <w:sz w:val="20"/>
        </w:rPr>
        <w:t xml:space="preserve">S13  </w:t>
      </w:r>
      <w:hyperlink r:id="rId26">
        <w:r>
          <w:rPr>
            <w:color w:val="24465E"/>
            <w:rFonts w:ascii="Calibri" w:eastAsia="Songti SC"/>
          </w:rPr>
          <w:t>RFC 8785 JSON Canonicalization Scheme</w:t>
        </w:r>
      </w:hyperlink>
    </w:p>
    <w:p>
      <w:pPr>
        <w:widowControl/>
        <w:spacing w:after="160"/>
      </w:pPr>
      <w:r>
        <w:rPr>
          <w:rFonts w:ascii="Calibri" w:hAnsi="Calibri" w:eastAsia="Songti SC"/>
          <w:b/>
          <w:color w:val="000000"/>
          <w:sz w:val="20"/>
        </w:rPr>
        <w:t xml:space="preserve">S14  </w:t>
      </w:r>
      <w:hyperlink r:id="rId27">
        <w:r>
          <w:rPr>
            <w:color w:val="24465E"/>
            <w:rFonts w:ascii="Calibri" w:eastAsia="Songti SC"/>
          </w:rPr>
          <w:t>RFC 9334 Remote ATtestation procedureS Architecture</w:t>
        </w:r>
      </w:hyperlink>
    </w:p>
    <w:p>
      <w:pPr>
        <w:widowControl/>
        <w:spacing w:after="160"/>
      </w:pPr>
      <w:r>
        <w:rPr>
          <w:rFonts w:ascii="Calibri" w:hAnsi="Calibri" w:eastAsia="Songti SC"/>
          <w:b/>
          <w:color w:val="000000"/>
          <w:sz w:val="20"/>
        </w:rPr>
        <w:t xml:space="preserve">S15  </w:t>
      </w:r>
      <w:hyperlink r:id="rId28">
        <w:r>
          <w:rPr>
            <w:color w:val="24465E"/>
            <w:rFonts w:ascii="Calibri" w:eastAsia="Songti SC"/>
          </w:rPr>
          <w:t>C2PA 2.4 — Content Credentials Explainer</w:t>
        </w:r>
      </w:hyperlink>
    </w:p>
    <w:p>
      <w:pPr>
        <w:widowControl/>
        <w:spacing w:after="160"/>
      </w:pPr>
      <w:r>
        <w:rPr>
          <w:rFonts w:ascii="Calibri" w:hAnsi="Calibri" w:eastAsia="Songti SC"/>
          <w:b/>
          <w:color w:val="000000"/>
          <w:sz w:val="20"/>
        </w:rPr>
        <w:t xml:space="preserve">S16  </w:t>
      </w:r>
      <w:hyperlink r:id="rId29">
        <w:r>
          <w:rPr>
            <w:color w:val="24465E"/>
            <w:rFonts w:ascii="Calibri" w:eastAsia="Songti SC"/>
          </w:rPr>
          <w:t>W3C Recommendation — ODRL Information Model 2.2</w:t>
        </w:r>
      </w:hyperlink>
    </w:p>
    <w:p>
      <w:pPr>
        <w:widowControl/>
        <w:spacing w:after="160"/>
      </w:pPr>
      <w:r>
        <w:rPr>
          <w:rFonts w:ascii="Calibri" w:hAnsi="Calibri" w:eastAsia="Songti SC"/>
          <w:b/>
          <w:color w:val="000000"/>
          <w:sz w:val="20"/>
        </w:rPr>
        <w:t xml:space="preserve">S17  </w:t>
      </w:r>
      <w:hyperlink r:id="rId30">
        <w:r>
          <w:rPr>
            <w:color w:val="24465E"/>
            <w:rFonts w:ascii="Calibri" w:eastAsia="Songti SC"/>
          </w:rPr>
          <w:t>AP2 v0.2 — Agentic Payment Protocol Specification</w:t>
        </w:r>
      </w:hyperlink>
    </w:p>
    <w:p>
      <w:pPr>
        <w:widowControl/>
        <w:spacing w:after="160"/>
      </w:pPr>
      <w:r>
        <w:rPr>
          <w:rFonts w:ascii="Calibri" w:hAnsi="Calibri" w:eastAsia="Songti SC"/>
          <w:b/>
          <w:color w:val="000000"/>
          <w:sz w:val="20"/>
        </w:rPr>
        <w:t xml:space="preserve">S18  </w:t>
      </w:r>
      <w:hyperlink r:id="rId31">
        <w:r>
          <w:rPr>
            <w:color w:val="24465E"/>
            <w:rFonts w:ascii="Calibri" w:eastAsia="Songti SC"/>
          </w:rPr>
          <w:t>NIST CSWP 39-upd1 — Considerations for Achieving Crypto Agility</w:t>
        </w:r>
      </w:hyperlink>
    </w:p>
    <w:p>
      <w:pPr>
        <w:widowControl/>
        <w:spacing w:after="160"/>
      </w:pPr>
      <w:r>
        <w:rPr>
          <w:rFonts w:ascii="Calibri" w:hAnsi="Calibri" w:eastAsia="Songti SC"/>
          <w:b/>
          <w:color w:val="000000"/>
          <w:sz w:val="20"/>
        </w:rPr>
        <w:t xml:space="preserve">S19  </w:t>
      </w:r>
      <w:hyperlink r:id="rId32">
        <w:r>
          <w:rPr>
            <w:color w:val="24465E"/>
            <w:rFonts w:ascii="Calibri" w:eastAsia="Songti SC"/>
          </w:rPr>
          <w:t>NIST — Post-quantum cryptography migration overview</w:t>
        </w:r>
      </w:hyperlink>
    </w:p>
    <w:p>
      <w:pPr>
        <w:widowControl/>
        <w:spacing w:after="160"/>
      </w:pPr>
      <w:r>
        <w:rPr>
          <w:rFonts w:ascii="Calibri" w:hAnsi="Calibri" w:eastAsia="Songti SC"/>
          <w:b/>
          <w:color w:val="000000"/>
          <w:sz w:val="20"/>
        </w:rPr>
        <w:t xml:space="preserve">S20  </w:t>
      </w:r>
      <w:hyperlink r:id="rId33">
        <w:r>
          <w:rPr>
            <w:color w:val="24465E"/>
            <w:rFonts w:ascii="Calibri" w:eastAsia="Songti SC"/>
          </w:rPr>
          <w:t>SEC, Application of the Federal Securities Laws to Certain Types of Crypto Assets and Certain Transactions Involving Crypto Assets, Release 33-11412</w:t>
        </w:r>
      </w:hyperlink>
    </w:p>
    <w:p>
      <w:pPr>
        <w:widowControl/>
        <w:spacing w:after="160"/>
      </w:pPr>
      <w:r>
        <w:rPr>
          <w:rFonts w:ascii="Calibri" w:hAnsi="Calibri" w:eastAsia="Songti SC"/>
          <w:b/>
          <w:color w:val="000000"/>
          <w:sz w:val="20"/>
        </w:rPr>
        <w:t xml:space="preserve">S21  </w:t>
      </w:r>
      <w:hyperlink r:id="rId34">
        <w:r>
          <w:rPr>
            <w:color w:val="24465E"/>
            <w:rFonts w:ascii="Calibri" w:eastAsia="Songti SC"/>
          </w:rPr>
          <w:t>SEC Division of Corporation Finance, Division of Investment Management and Division of Trading and Markets, Statement on Tokenized Securities</w:t>
        </w:r>
      </w:hyperlink>
    </w:p>
    <w:p>
      <w:pPr>
        <w:widowControl/>
        <w:spacing w:after="160"/>
      </w:pPr>
      <w:r>
        <w:rPr>
          <w:rFonts w:ascii="Calibri" w:hAnsi="Calibri" w:eastAsia="Songti SC"/>
          <w:b/>
          <w:color w:val="000000"/>
          <w:sz w:val="20"/>
        </w:rPr>
        <w:t xml:space="preserve">S22  </w:t>
      </w:r>
      <w:hyperlink r:id="rId35">
        <w:r>
          <w:rPr>
            <w:color w:val="24465E"/>
            <w:rFonts w:ascii="Calibri" w:eastAsia="Songti SC"/>
          </w:rPr>
          <w:t>RFC 2119 — Key words for use in RFCs to Indicate Requirement Levels</w:t>
        </w:r>
      </w:hyperlink>
    </w:p>
    <w:p>
      <w:pPr>
        <w:widowControl/>
        <w:spacing w:after="160"/>
      </w:pPr>
      <w:r>
        <w:rPr>
          <w:rFonts w:ascii="Calibri" w:hAnsi="Calibri" w:eastAsia="Songti SC"/>
          <w:b/>
          <w:color w:val="000000"/>
          <w:sz w:val="20"/>
        </w:rPr>
        <w:t xml:space="preserve">S23  </w:t>
      </w:r>
      <w:hyperlink r:id="rId36">
        <w:r>
          <w:rPr>
            <w:color w:val="24465E"/>
            <w:rFonts w:ascii="Calibri" w:eastAsia="Songti SC"/>
          </w:rPr>
          <w:t>RFC 8174 — Ambiguity of Uppercase vs Lowercase in RFC 2119 Key Words</w:t>
        </w:r>
      </w:hyperlink>
    </w:p>
    <w:p>
      <w:pPr>
        <w:widowControl/>
        <w:spacing w:after="160"/>
      </w:pPr>
      <w:r>
        <w:rPr>
          <w:rFonts w:ascii="Calibri" w:hAnsi="Calibri" w:eastAsia="Songti SC"/>
          <w:b/>
          <w:color w:val="000000"/>
          <w:sz w:val="20"/>
        </w:rPr>
        <w:t xml:space="preserve">S24  </w:t>
      </w:r>
      <w:hyperlink r:id="rId37">
        <w:r>
          <w:rPr>
            <w:color w:val="24465E"/>
            <w:rFonts w:ascii="Calibri" w:eastAsia="Songti SC"/>
          </w:rPr>
          <w:t>OASIS Universal Business Language Version 2.4</w:t>
        </w:r>
      </w:hyperlink>
    </w:p>
    <w:p>
      <w:pPr>
        <w:widowControl/>
        <w:spacing w:after="160"/>
      </w:pPr>
      <w:r>
        <w:rPr>
          <w:rFonts w:ascii="Calibri" w:hAnsi="Calibri" w:eastAsia="Songti SC"/>
          <w:b/>
          <w:color w:val="000000"/>
          <w:sz w:val="20"/>
        </w:rPr>
        <w:t xml:space="preserve">S25  </w:t>
      </w:r>
      <w:hyperlink r:id="rId38">
        <w:r>
          <w:rPr>
            <w:color w:val="24465E"/>
            <w:rFonts w:ascii="Calibri" w:eastAsia="Songti SC"/>
          </w:rPr>
          <w:t>UNCITRAL Model Law on Electronic Transferable Records (2017), with Explanatory Note</w:t>
        </w:r>
      </w:hyperlink>
    </w:p>
    <w:p>
      <w:pPr>
        <w:widowControl/>
        <w:spacing w:after="160"/>
      </w:pPr>
      <w:r>
        <w:rPr>
          <w:rFonts w:ascii="Calibri" w:hAnsi="Calibri" w:eastAsia="Songti SC"/>
          <w:b/>
          <w:color w:val="000000"/>
          <w:sz w:val="20"/>
        </w:rPr>
        <w:t xml:space="preserve">S26  </w:t>
      </w:r>
      <w:hyperlink r:id="rId39">
        <w:r>
          <w:rPr>
            <w:color w:val="24465E"/>
            <w:rFonts w:ascii="Calibri" w:eastAsia="Songti SC"/>
          </w:rPr>
          <w:t>UNCITRAL Model Law on Automated Contracting (2024), with Guide to Enactment</w:t>
        </w:r>
      </w:hyperlink>
    </w:p>
    <w:p>
      <w:pPr>
        <w:widowControl/>
        <w:spacing w:after="160"/>
      </w:pPr>
      <w:r>
        <w:rPr>
          <w:rFonts w:ascii="Calibri" w:hAnsi="Calibri" w:eastAsia="Songti SC"/>
          <w:b/>
          <w:color w:val="000000"/>
          <w:sz w:val="20"/>
        </w:rPr>
        <w:t xml:space="preserve">S27  </w:t>
      </w:r>
      <w:hyperlink r:id="rId40">
        <w:r>
          <w:rPr>
            <w:color w:val="24465E"/>
            <w:rFonts w:ascii="Calibri" w:eastAsia="Songti SC"/>
          </w:rPr>
          <w:t>RFC 6852 — Affirmation of the Modern Paradigm for Standards</w:t>
        </w:r>
      </w:hyperlink>
    </w:p>
    <w:p>
      <w:pPr>
        <w:widowControl/>
        <w:spacing w:after="160"/>
      </w:pPr>
      <w:r>
        <w:rPr>
          <w:rFonts w:ascii="Calibri" w:hAnsi="Calibri" w:eastAsia="Songti SC"/>
          <w:b/>
          <w:color w:val="000000"/>
          <w:sz w:val="20"/>
        </w:rPr>
        <w:t xml:space="preserve">S28  </w:t>
      </w:r>
      <w:hyperlink r:id="rId41">
        <w:r>
          <w:rPr>
            <w:color w:val="24465E"/>
            <w:rFonts w:ascii="Calibri" w:eastAsia="Songti SC"/>
          </w:rPr>
          <w:t>WTO — Digitally Delivered Services Trade Dataset, July 2026 update</w:t>
        </w:r>
      </w:hyperlink>
    </w:p>
    <w:p>
      <w:pPr>
        <w:widowControl/>
        <w:spacing w:after="160"/>
      </w:pPr>
      <w:r>
        <w:rPr>
          <w:rFonts w:ascii="Calibri" w:hAnsi="Calibri" w:eastAsia="Songti SC"/>
          <w:b/>
          <w:color w:val="000000"/>
          <w:sz w:val="20"/>
        </w:rPr>
        <w:t xml:space="preserve">S29  </w:t>
      </w:r>
      <w:hyperlink r:id="rId42">
        <w:r>
          <w:rPr>
            <w:color w:val="24465E"/>
            <w:rFonts w:ascii="Calibri" w:eastAsia="Songti SC"/>
          </w:rPr>
          <w:t>UNCTAD Data Hub — Business e-commerce sales, 21 May 2026 update</w:t>
        </w:r>
      </w:hyperlink>
    </w:p>
    <w:p>
      <w:pPr>
        <w:widowControl/>
        <w:spacing w:after="160"/>
      </w:pPr>
      <w:r>
        <w:rPr>
          <w:rFonts w:ascii="Calibri" w:hAnsi="Calibri" w:eastAsia="Songti SC"/>
          <w:b/>
          <w:color w:val="000000"/>
          <w:sz w:val="20"/>
        </w:rPr>
        <w:t xml:space="preserve">S30  </w:t>
      </w:r>
      <w:hyperlink r:id="rId43">
        <w:r>
          <w:rPr>
            <w:color w:val="24465E"/>
            <w:rFonts w:ascii="Calibri" w:eastAsia="Songti SC"/>
          </w:rPr>
          <w:t>IDC — Global Public Cloud Spending to Surpass US$1 Trillion in 2026</w:t>
        </w:r>
      </w:hyperlink>
    </w:p>
    <w:p>
      <w:pPr>
        <w:widowControl/>
        <w:spacing w:after="160"/>
      </w:pPr>
      <w:r>
        <w:rPr>
          <w:rFonts w:ascii="Calibri" w:hAnsi="Calibri" w:eastAsia="Songti SC"/>
          <w:b/>
          <w:color w:val="000000"/>
          <w:sz w:val="20"/>
        </w:rPr>
        <w:t xml:space="preserve">S31  </w:t>
      </w:r>
      <w:hyperlink r:id="rId44">
        <w:r>
          <w:rPr>
            <w:color w:val="24465E"/>
            <w:rFonts w:ascii="Calibri" w:eastAsia="Songti SC"/>
          </w:rPr>
          <w:t>IDC — Worldwide AI IT spending forecast to reach US$1.3 trillion in 2029</w:t>
        </w:r>
      </w:hyperlink>
    </w:p>
    <w:p>
      <w:pPr>
        <w:widowControl/>
        <w:spacing w:after="160"/>
      </w:pPr>
      <w:r>
        <w:rPr>
          <w:rFonts w:ascii="Calibri" w:hAnsi="Calibri" w:eastAsia="Songti SC"/>
          <w:b/>
          <w:color w:val="000000"/>
          <w:sz w:val="20"/>
        </w:rPr>
        <w:t xml:space="preserve">S32  </w:t>
      </w:r>
      <w:hyperlink r:id="rId45">
        <w:r>
          <w:rPr>
            <w:color w:val="24465E"/>
            <w:rFonts w:ascii="Calibri" w:eastAsia="Songti SC"/>
          </w:rPr>
          <w:t>IFR — World Robotics 2026: five million industrial robots in operation</w:t>
        </w:r>
      </w:hyperlink>
    </w:p>
    <w:p>
      <w:pPr>
        <w:widowControl/>
        <w:spacing w:after="160"/>
      </w:pPr>
      <w:r>
        <w:rPr>
          <w:rFonts w:ascii="Calibri" w:hAnsi="Calibri" w:eastAsia="Songti SC"/>
          <w:b/>
          <w:color w:val="000000"/>
          <w:sz w:val="20"/>
        </w:rPr>
        <w:t xml:space="preserve">S33  </w:t>
      </w:r>
      <w:hyperlink r:id="rId46">
        <w:r>
          <w:rPr>
            <w:color w:val="24465E"/>
            <w:rFonts w:ascii="Calibri" w:eastAsia="Songti SC"/>
          </w:rPr>
          <w:t>World Bank ID4D — Global ID coverage estimates, 2025 edition</w:t>
        </w:r>
      </w:hyperlink>
    </w:p>
    <w:p>
      <w:pPr>
        <w:widowControl/>
        <w:spacing w:after="160"/>
      </w:pPr>
      <w:r>
        <w:rPr>
          <w:rFonts w:ascii="Calibri" w:hAnsi="Calibri" w:eastAsia="Songti SC"/>
          <w:b/>
          <w:color w:val="000000"/>
          <w:sz w:val="20"/>
        </w:rPr>
        <w:t xml:space="preserve">S34  </w:t>
      </w:r>
      <w:hyperlink r:id="rId47">
        <w:r>
          <w:rPr>
            <w:color w:val="24465E"/>
            <w:rFonts w:ascii="Calibri" w:eastAsia="Songti SC"/>
          </w:rPr>
          <w:t>NFT Limited — October 6, 2026 prospectus supplement: NFT business, operating entities and Agent Link status</w:t>
        </w:r>
      </w:hyperlink>
    </w:p>
    <w:p>
      <w:pPr>
        <w:widowControl/>
        <w:spacing w:after="160"/>
      </w:pPr>
      <w:r>
        <w:rPr>
          <w:rFonts w:ascii="Calibri" w:hAnsi="Calibri" w:eastAsia="Songti SC"/>
          <w:b/>
          <w:color w:val="000000"/>
          <w:sz w:val="20"/>
        </w:rPr>
        <w:t xml:space="preserve">S35  </w:t>
      </w:r>
      <w:hyperlink r:id="rId48">
        <w:r>
          <w:rPr>
            <w:color w:val="24465E"/>
            <w:rFonts w:ascii="Calibri" w:eastAsia="Songti SC"/>
          </w:rPr>
          <w:t>NFT Limited — First-half 2026 management discussion (September 30, 2026 Form 6-K, Exhibit 99.2): NFT platform operations and transaction commissions</w:t>
        </w:r>
      </w:hyperlink>
    </w:p>
    <w:sectPr w:rsidR="00FC693F" w:rsidRPr="0006063C" w:rsidSect="00034616">
      <w:headerReference w:type="default" r:id="rId49"/>
      <w:footerReference w:type="default" r:id="rId50"/>
      <w:pgSz w:w="12240" w:h="15840"/>
      <w:pgMar w:top="1037" w:right="1080" w:bottom="979" w:left="1080"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Songti SC"/>
        <w:color w:val="000000"/>
        <w:sz w:val="18"/>
      </w:rPr>
      <w:t xml:space="preserve">2026-10-11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Songti SC"/>
        <w:color w:val="000000"/>
        <w:sz w:val="18"/>
      </w:rPr>
      <w:t>RWAIX  |  Universal Trust and Transaction Reference Specification  |  v6.4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eastAsia="Songti SC"/>
      <w:i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Songti SC"/>
      <w:i w:val="0"/>
      <w:color w:val="000000"/>
      <w:u w:val="non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Songti SC"/>
      <w:i w:val="0"/>
      <w:color w:val="000000"/>
      <w:u w:val="non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eastAsia="Songti SC"/>
      <w:b/>
      <w:bCs/>
      <w:i w:val="0"/>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120" w:after="140"/>
      <w:outlineLvl w:val="1"/>
    </w:pPr>
    <w:rPr>
      <w:rFonts w:asciiTheme="majorHAnsi" w:eastAsiaTheme="majorEastAsia" w:hAnsiTheme="majorHAnsi" w:cstheme="majorBidi" w:ascii="Calibri" w:hAnsi="Calibri" w:eastAsia="Songti SC"/>
      <w:b/>
      <w:bCs/>
      <w:i w:val="0"/>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Songti SC"/>
      <w:b/>
      <w:bCs/>
      <w:i w:val="0"/>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20"/>
      <w:contextualSpacing/>
    </w:pPr>
    <w:rPr>
      <w:rFonts w:asciiTheme="majorHAnsi" w:eastAsiaTheme="majorEastAsia" w:hAnsiTheme="majorHAnsi" w:cstheme="majorBidi" w:ascii="Calibri" w:hAnsi="Calibri" w:eastAsia="Songti SC"/>
      <w:i w:val="0"/>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20" w:after="140"/>
    </w:pPr>
    <w:rPr>
      <w:rFonts w:asciiTheme="majorHAnsi" w:eastAsiaTheme="majorEastAsia" w:hAnsiTheme="majorHAnsi" w:cstheme="majorBidi" w:ascii="Calibri" w:hAnsi="Calibri" w:eastAsia="Songti SC"/>
      <w:i w:val="0"/>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140"/>
    </w:pPr>
    <w:rPr>
      <w:rFonts w:ascii="Calibri" w:hAnsi="Calibri" w:eastAsia="Songti SC"/>
      <w:b/>
      <w:bCs/>
      <w:i w:val="0"/>
      <w:color w:val="000000"/>
      <w:sz w:val="20"/>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Text">
    <w:name w:val="Reference Text"/>
    <w:basedOn w:val="Normal"/>
    <w:pPr>
      <w:spacing w:line="259" w:lineRule="auto" w:after="100"/>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chatgpt.com/space/page_508562e10774819199303889a5033b9f" TargetMode="External"/><Relationship Id="rId13" Type="http://schemas.openxmlformats.org/officeDocument/2006/relationships/image" Target="media/image4.png"/><Relationship Id="rId14" Type="http://schemas.openxmlformats.org/officeDocument/2006/relationships/hyperlink" Target="https://www.w3.org/TR/did-core/" TargetMode="External"/><Relationship Id="rId15" Type="http://schemas.openxmlformats.org/officeDocument/2006/relationships/hyperlink" Target="https://www.w3.org/TR/vc-data-model-2.0/" TargetMode="External"/><Relationship Id="rId16" Type="http://schemas.openxmlformats.org/officeDocument/2006/relationships/hyperlink" Target="https://www.w3.org/TR/vc-bitstring-status-list/" TargetMode="External"/><Relationship Id="rId17" Type="http://schemas.openxmlformats.org/officeDocument/2006/relationships/hyperlink" Target="https://eips.ethereum.org/EIPS/eip-721" TargetMode="External"/><Relationship Id="rId18" Type="http://schemas.openxmlformats.org/officeDocument/2006/relationships/hyperlink" Target="https://eips.ethereum.org/EIPS/eip-1155" TargetMode="External"/><Relationship Id="rId19" Type="http://schemas.openxmlformats.org/officeDocument/2006/relationships/hyperlink" Target="https://eips.ethereum.org/EIPS/eip-5192" TargetMode="External"/><Relationship Id="rId20" Type="http://schemas.openxmlformats.org/officeDocument/2006/relationships/hyperlink" Target="https://eips.ethereum.org/EIPS/eip-5484" TargetMode="External"/><Relationship Id="rId21" Type="http://schemas.openxmlformats.org/officeDocument/2006/relationships/hyperlink" Target="https://eips.ethereum.org/EIPS/eip-1271" TargetMode="External"/><Relationship Id="rId22" Type="http://schemas.openxmlformats.org/officeDocument/2006/relationships/hyperlink" Target="https://eips.ethereum.org/EIPS/eip-4337" TargetMode="External"/><Relationship Id="rId23" Type="http://schemas.openxmlformats.org/officeDocument/2006/relationships/hyperlink" Target="https://github.com/ethereum-attestation-service/eas-sdk" TargetMode="External"/><Relationship Id="rId24" Type="http://schemas.openxmlformats.org/officeDocument/2006/relationships/hyperlink" Target="https://docs.sign.global/products-sign-ecosystem/sign-protocol.md" TargetMode="External"/><Relationship Id="rId25" Type="http://schemas.openxmlformats.org/officeDocument/2006/relationships/hyperlink" Target="https://eips.ethereum.org/EIPS/eip-712" TargetMode="External"/><Relationship Id="rId26" Type="http://schemas.openxmlformats.org/officeDocument/2006/relationships/hyperlink" Target="https://www.rfc-editor.org/rfc/rfc8785" TargetMode="External"/><Relationship Id="rId27" Type="http://schemas.openxmlformats.org/officeDocument/2006/relationships/hyperlink" Target="https://www.rfc-editor.org/rfc/rfc9334" TargetMode="External"/><Relationship Id="rId28" Type="http://schemas.openxmlformats.org/officeDocument/2006/relationships/hyperlink" Target="https://spec.c2pa.org/specifications/specifications/2.4/explainer/Explainer.html" TargetMode="External"/><Relationship Id="rId29" Type="http://schemas.openxmlformats.org/officeDocument/2006/relationships/hyperlink" Target="https://www.w3.org/TR/odrl-model/" TargetMode="External"/><Relationship Id="rId30" Type="http://schemas.openxmlformats.org/officeDocument/2006/relationships/hyperlink" Target="https://ap2-protocol.org/ap2/specification/" TargetMode="External"/><Relationship Id="rId31" Type="http://schemas.openxmlformats.org/officeDocument/2006/relationships/hyperlink" Target="https://www.nist.gov/publications/considerations-achieving-crypto-agility-strategies-and-practices-0" TargetMode="External"/><Relationship Id="rId32" Type="http://schemas.openxmlformats.org/officeDocument/2006/relationships/hyperlink" Target="https://www.nist.gov/pqc" TargetMode="External"/><Relationship Id="rId33" Type="http://schemas.openxmlformats.org/officeDocument/2006/relationships/hyperlink" Target="https://www.sec.gov/files/rules/interp/2026/33-11412.pdf" TargetMode="External"/><Relationship Id="rId34" Type="http://schemas.openxmlformats.org/officeDocument/2006/relationships/hyperlink" Target="https://www.sec.gov/newsroom/speeches-statements/corp-fin-statement-tokenized-securities-012826-statement-tokenized-securities" TargetMode="External"/><Relationship Id="rId35" Type="http://schemas.openxmlformats.org/officeDocument/2006/relationships/hyperlink" Target="https://www.rfc-editor.org/rfc/rfc2119.html" TargetMode="External"/><Relationship Id="rId36" Type="http://schemas.openxmlformats.org/officeDocument/2006/relationships/hyperlink" Target="https://www.rfc-editor.org/rfc/rfc8174.html" TargetMode="External"/><Relationship Id="rId37" Type="http://schemas.openxmlformats.org/officeDocument/2006/relationships/hyperlink" Target="https://docs.oasis-open.org/ubl/os-UBL-2.4/UBL-2.4.html" TargetMode="External"/><Relationship Id="rId38" Type="http://schemas.openxmlformats.org/officeDocument/2006/relationships/hyperlink" Target="https://uncitral.un.org/sites/uncitral.un.org/files/media-documents/uncitral/en/mletr_ebook_e.pdf" TargetMode="External"/><Relationship Id="rId39" Type="http://schemas.openxmlformats.org/officeDocument/2006/relationships/hyperlink" Target="https://uncitral.un.org/sites/uncitral.un.org/files/2424674e-mlautomatedcontracting-rev1-ebook.pdf" TargetMode="External"/><Relationship Id="rId40" Type="http://schemas.openxmlformats.org/officeDocument/2006/relationships/hyperlink" Target="https://www.rfc-editor.org/rfc/rfc6852.html" TargetMode="External"/><Relationship Id="rId41" Type="http://schemas.openxmlformats.org/officeDocument/2006/relationships/hyperlink" Target="https://www.wto.org/english/res_e/statis_e/gstdh_digital_services_e.htm" TargetMode="External"/><Relationship Id="rId42" Type="http://schemas.openxmlformats.org/officeDocument/2006/relationships/hyperlink" Target="https://unctadstat2.unctad.org/insights/theme/265" TargetMode="External"/><Relationship Id="rId43" Type="http://schemas.openxmlformats.org/officeDocument/2006/relationships/hyperlink" Target="https://www.idc.com/resource-center/press-releases/publiccloudspend2026/" TargetMode="External"/><Relationship Id="rId44" Type="http://schemas.openxmlformats.org/officeDocument/2006/relationships/hyperlink" Target="https://www.idc.com/resource-center/press-releases/agentic-ai-to-dominate-it-budget-expansion-over-next-five-years-exceeding-26-of-worldwide-it-spending-and-1-3-trillion-in-2029-according-to-idc/" TargetMode="External"/><Relationship Id="rId45" Type="http://schemas.openxmlformats.org/officeDocument/2006/relationships/hyperlink" Target="https://ifr.org/ifr-press-releases/news/five-million-robots-now-operate-in-factories-globally" TargetMode="External"/><Relationship Id="rId46" Type="http://schemas.openxmlformats.org/officeDocument/2006/relationships/hyperlink" Target="https://id4d.worldbank.org/global-dataset" TargetMode="External"/><Relationship Id="rId47" Type="http://schemas.openxmlformats.org/officeDocument/2006/relationships/hyperlink" Target="https://www.sec.gov/Archives/edgar/data/1958713/000121390026107491/ea0307927-424b5_nft.htm" TargetMode="External"/><Relationship Id="rId48" Type="http://schemas.openxmlformats.org/officeDocument/2006/relationships/hyperlink" Target="https://www.sec.gov/Archives/edgar/data/1958713/000121390026105247/ea030024301ex99-2.htm" TargetMode="External"/><Relationship Id="rId49" Type="http://schemas.openxmlformats.org/officeDocument/2006/relationships/header" Target="header1.xml"/><Relationship Id="rId5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RWAIX Universal Trust and Transaction Protocol Whitepaper
for Future Digital Commerce</dc:title>
  <dc:subject>Technical architecture and validation design</dc:subject>
  <dc:creator>RWAIX</dc:creator>
  <cp:keywords/>
  <dc:description>Prepared for review. Unverified project claims are not represented as confirmed facts.</dc:description>
  <cp:lastModifiedBy/>
  <cp:revision>1</cp:revision>
  <dcterms:created xsi:type="dcterms:W3CDTF">2013-12-23T23:15:00Z</dcterms:created>
  <dcterms:modified xsi:type="dcterms:W3CDTF">2013-12-23T23:15:00Z</dcterms:modified>
  <cp:category/>
</cp:coreProperties>
</file>