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Sai 개인정보 처리 — 법률 질의서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작성일: 2026-06-25 · 대상 처리방침: 시행일 2026-06-19본 · 의뢰인: 신성윤 (hwakia@gmail.com)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본 질의서는 Sai 앱의 개인정보 처리방침과 실제 데이터 처리 흐름을 대조하여 도출한 법적 쟁점에 관하여 검토 의견을 구하기 위한 것입니다. 각 항목은 현황·쟁점·질의사항 순으로 정리하였으며, 회신 시 항목 번호를 기준으로 의견 주시면 감사하겠습니다.</w:t>
      </w:r>
    </w:p>
    <w:p>
      <w:pPr>
        <w:pBdr>
          <w:bottom w:val="single" w:color="2E3A87" w:sz="6" w:space="1"/>
        </w:pBdr>
        <w:spacing w:after="60" w:before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0. 서비스 처리 현황 요약 (질의 배경)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구조: Flutter 안드로이드 앱이 Streamlit 웹앱(미국, Snowflake 운영)을 WebView로 로드.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입력값(생년월일·출생시간·성별 등): 미국 서버 메모리에서 계산 후 저장하지 않음.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케미/맞짱 방: Supabase(미국) DB에 별명·점수·등급 + (모임 케미 한정) 사주팔자 인코딩 토큰을 30분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통계 로그: Supabase에 무작위 세션값·이벤트명 등 180일 저장(개인식별 안 함 주장).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광고: Google AdMob GAID, 동의 후 SDK 초기화, 선택 동의.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내 사주 저장 링크: 입력값을 base64 인코딩 토큰으로 URL에 담음(서버 미저장).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동의: 앱 최초 실행 시 동의 화면 + 만 14세 체크박스.</w:t>
      </w:r>
    </w:p>
    <w:p>
      <w:pPr>
        <w:pBdr>
          <w:bottom w:val="single" w:color="2E3A87" w:sz="6" w:space="1"/>
        </w:pBdr>
        <w:spacing w:after="60" w:before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1. 국외이전 동의의 적법성 (최우선)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현황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미국 소재 Snowflake·Supabase·Google에 데이터가 이전됨. 앱 최초 실행 동의 화면에서 동의를 받음.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개인정보보호법 제28조의8 국외이전 동의는 ① 이전받는 자 ② 목적 ③ 항목 ④ 국가·일시·방법 ⑤ 보유·이용기간 ⑥ 거부권·거부 시 효과를 모두 고지하고 동의받아야 함. 현재 동의 화면이 이 6개 요건을 항목별·수탁자별로 분리해 충족하는가, 아니면 포괄동의에 그치는가.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처리방침에는 상세히 적혀 있으나, 동의 화면 자체의 고지 수준이 법정 요건을 충족하는지.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현재 동의 화면 문구만으로 제28조의8 국외이전 동의 요건이 충족되는가? 별도 동의 항목 분리가 필요한가?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처리방침 고지로 갈음 가능한 부분과, 반드시 동의 화면에서 받아야 하는 부분의 경계는?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2. 인코딩 토큰의 법적 성격 (개인정보/가명정보 여부)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현황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모임 케미용 사주팔자를 base64 인코딩 토큰으로 30분 저장. 처리방침은 "원본 생년월일시를 저장하지 않으나 개인정보에 준하여 보호"라고 기재.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base64는 암호화가 아니라 쉽게 복원 가능 → 토큰에서 사주 간지(나아가 생년월일시 추정)가 복원될 수 있다면, 이는 사실상 개인정보 또는 가명정보에 해당할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그렇다면 "생년월일시를 저장하지 않는다"는 표현과 모순·과장 소지. 가명정보라면 가명정보 안전조치·결합제한 규정 적용.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복원 가능한 인코딩 토큰이 개인정보/가명정보 중 어디에 해당하는가?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가명정보라면 추가로 필요한 안전조치·기록의무는? "저장하지 않는다" 표현을 수정해야 하는가?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3. URL 저장 링크의 암호화·유출 책임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현황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"내 사주 저장 링크"는 입력값을 평문 아닌 인코딩 토큰으로 URL에 담음. 처리방침에 "강한 암호화 아님, 링크 보유자 열람 가능, 미국 서버 전송, 로그 잔존 가능" 자인.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안전성 확보조치 기준상 개인정보 암호화 의무 대비, 복원 가능한 토큰의 적정성.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생년월일시가 사실상 URL을 통해 국외(미국 서버)로 전송 → 별도 국외이전 고지·동의 대상인지.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위험 고지를 했더라도, 운영자의 안전조치 의무가 고지로 면제되는지.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링크 토큰 방식이 안전성 확보조치 기준을 충족하는가? 진정한 암호화로 전환해야 하는가?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위험을 고지했으면 운영자 책임이 경감되는가, 아니면 기술적 조치 자체가 의무인가?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4. 만 14세 미만 차단의 실효성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현황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생년월일 입력값으로 14세 미만 판단해 차단 + 동의 화면 "만 14세 이상" 체크박스.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사용자가 생년월일을 허위 입력하면 차단 우회 가능 → 실효적 연령확인 수단 부재.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법 제22조의2 법정대리인 동의 체계와의 관계. "14세 미만 처리하지 않는다"는 선언과 실제 통제수단의 간극이 표시·고지 책임 문제로 이어질지.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자기신고(체크박스+생년월일) 방식의 연령확인이 법상 충분한가? 추가 수단이 필요한가?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우회 가능성에도 불구하고 현재 수준의 조치로 면책 가능한지?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5. 광고 식별자(GAID) — 제공/위탁 구분과 동의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현황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AdMob GAID를 Google LLC(미국)에 전달, 선택 동의, 미동의 시 비맞춤형 광고. 동의 후 SDK 초기화 구현.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GAID 처리가 제3자 제공인지 위탁인지(법적 성격에 따라 고지·동의 요건 상이).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"동의 전 SDK 미초기화"가 실제로 보장되는지(기술 검증 필요) — 동의 전 식별자 전송 시 위법.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선택 동의의 실질성(거부해도 핵심 서비스 이용 가능한지).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GAID 광고 처리는 제공/위탁 중 무엇으로 보고 어떤 동의·고지가 맞는가?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동의 전 광고 식별자 전송이 0임을 증빙해야 하는가(검증 방법)?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6. 이용통계 로그의 '비식별' 주장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현황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무작위 세션값·이벤트명·화면명·유입경로·앱버전을 180일 저장, "개인 식별 안 함".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이것이 익명정보(법 적용 제외)인지 가명정보(규정 적용)인지. 결합·재식별 가능성 평가가 됐는지.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익명정보라 단정하면 추후 재식별 위험 발생 시 책임.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현재 로그가 익명정보로 인정될 수 있는 수준인가? 익명/가명 판단 근거를 문서화해야 하는가?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7. 처리방침과 실제 처리의 일치성(정확성)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"서버에 저장하지 않는다"는 핵심 표현이 토큰(30분 저장)·로그(180일)와 모순되어 보이지 않는지.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방침 기재와 실제 코드 동작 불일치 시 허위·과장 표시 및 행정 제재 가능성.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현재 표현들이 오인 소지 없이 정확한가? 수정이 필요한 문구는?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8. 위탁계약·관리감독 (제26조)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현황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Streamlit·Supabase에 위탁 사실은 공개.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제26조상 위탁계약서(또는 표준계약·DPA) 체결 및 관리·감독 의무. 해외 사업자의 표준약관(ToS/DPA) 동의만으로 충족되는지.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해외 SaaS의 표준 DPA 동의로 위탁계약 요건이 충족되는가? 별도 서면이 필요한가?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9. 운영체계 — CPO 지정·국내대리인·이용약관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현황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개인정보 보호책임자=개인 운영자(신성윤) 겸직. 국내대리인 미지정(국내 운영자라 해당없음 기재). 이용약관 별도 존재 여부 불명.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질의사항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개인 운영자의 CPO 겸직·표시가 적법한가(규모 기준)?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국내대리인 비대상 판단이 맞는가?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처리방침 외 서비스 이용약관(면책·분쟁관할·책임제한)이 필요한가? 사주 결과 "오락·참고용" 면책이 표시광고법·소비자법상 충분한가?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10. (향후) 수익화 시 추가 쟁점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현재 무료+광고지만, 향후 인앱결제 도입 시 전자상거래법(청약철회·환불·표시의무) 및 정기결제 규정 검토 필요.</w:t>
      </w:r>
    </w:p>
    <w:p>
      <w:pPr>
        <w:pBdr>
          <w:bottom w:val="single" w:color="2E3A87" w:sz="6" w:space="1"/>
        </w:pBdr>
        <w:spacing w:after="60" w:before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우선순위 제안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가장 먼저 확인할 3가지: </w:t>
      </w:r>
      <w:r>
        <w:rPr>
          <w:rFonts w:ascii="맑은 고딕" w:cs="맑은 고딕" w:eastAsia="맑은 고딕" w:hAnsi="맑은 고딕"/>
          <w:b/>
          <w:bCs/>
        </w:rPr>
        <w:t xml:space="preserve">① 국외이전 동의 요건 충족 여부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, </w:t>
      </w:r>
      <w:r>
        <w:rPr>
          <w:rFonts w:ascii="맑은 고딕" w:cs="맑은 고딕" w:eastAsia="맑은 고딕" w:hAnsi="맑은 고딕"/>
          <w:b/>
          <w:bCs/>
        </w:rPr>
        <w:t xml:space="preserve">② 인코딩 토큰/URL 링크의 개인정보성·암호화 의무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, </w:t>
      </w:r>
      <w:r>
        <w:rPr>
          <w:rFonts w:ascii="맑은 고딕" w:cs="맑은 고딕" w:eastAsia="맑은 고딕" w:hAnsi="맑은 고딕"/>
          <w:b/>
          <w:bCs/>
        </w:rPr>
        <w:t xml:space="preserve">③ 처리방침-실제처리 표현 일치성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. 나머지는 그 다음 순위로 검토하면 효율적입니다.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질의서는 의뢰인이 처리방침과 실제 처리를 대조해 정리한 쟁점이며, 법적 결론이 아닙니다. 각 쟁점에 대한 검토 의견을 요청드립니다.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맑은 고딕" w:cs="맑은 고딕" w:eastAsia="맑은 고딕" w:hAnsi="맑은 고딕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3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2026-06-25T08:12:33.974Z</dcterms:created>
  <dcterms:modified xsi:type="dcterms:W3CDTF">2026-06-25T08:12:33.974Z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