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jc w:val="center"/>
      </w:pPr>
      <w:r>
        <w:rPr>
          <w:rFonts w:ascii="맑은 고딕" w:eastAsia="맑은 고딕" w:hAnsi="맑은 고딕" w:cs="맑은 고딕"/>
          <w:i w:val="0"/>
          <w:iCs w:val="0"/>
        </w:rPr>
        <w:t>Sai 개인정보 처리 — 핵심 법률 질의서</w:t>
      </w:r>
    </w:p>
    <w:p>
      <w:pPr>
        <w:spacing w:after="160"/>
      </w:pP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작성일: 2026-06-25 · 대상 처리방침: 시행일 2026-06-19본 · 의뢰인: 신성윤 (hwakia@gmail.com)</w:t>
      </w:r>
    </w:p>
    <w:p>
      <w:pPr>
        <w:spacing w:after="120"/>
      </w:pPr>
      <w:r>
        <w:rPr>
          <w:rFonts w:ascii="맑은 고딕" w:eastAsia="맑은 고딕" w:hAnsi="맑은 고딕" w:cs="맑은 고딕"/>
          <w:i w:val="0"/>
          <w:iCs w:val="0"/>
        </w:rPr>
        <w:t xml:space="preserve">Sai 앱의 개인정보 처리방침과 실제 데이터 처리 흐름을 대조하여 도출한 쟁점 중 </w:t>
      </w:r>
      <w:r>
        <w:rPr>
          <w:rFonts w:ascii="맑은 고딕" w:eastAsia="맑은 고딕" w:hAnsi="맑은 고딕" w:cs="맑은 고딕"/>
          <w:b/>
          <w:bCs/>
        </w:rPr>
        <w:t>가장 중대한 3가지</w:t>
      </w:r>
      <w:r>
        <w:rPr>
          <w:rFonts w:ascii="맑은 고딕" w:eastAsia="맑은 고딕" w:hAnsi="맑은 고딕" w:cs="맑은 고딕"/>
          <w:i w:val="0"/>
          <w:iCs w:val="0"/>
        </w:rPr>
        <w:t>에 대해 검토 의견을 구합니다.</w:t>
      </w:r>
    </w:p>
    <w:p>
      <w:pPr>
        <w:spacing w:after="40" w:before="80"/>
      </w:pPr>
      <w:r>
        <w:rPr>
          <w:rFonts w:ascii="맑은 고딕" w:eastAsia="맑은 고딕" w:hAnsi="맑은 고딕" w:cs="맑은 고딕"/>
          <w:b/>
          <w:bCs/>
          <w:color w:val="555555"/>
          <w:sz w:val="19"/>
          <w:szCs w:val="19"/>
        </w:rPr>
        <w:t>서비스 처리 현황 (배경)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>Flutter 앱이 미국 소재 Streamlit(Snowflake 운영) 웹앱을 WebView로 로드. 생년월일·출생시간·성별 입력값은 미국 서버 메모리에서 계산 후 저장하지 않음.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>케미/맞짱 방: Supabase(미국)에 별명·점수·등급 + (모임 케미 한정) 사주팔자 base64 인코딩 토큰을 30분 저장. 통계 로그는 무작위 세션값 등 180일 저장.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>내 사주 저장 링크: 입력값을 base64 토큰으로 URL에 담음(서버 미저장). 광고: AdMob GAID, 동의 후 SDK 초기화. 동의: 앱 최초 실행 화면 + 만 14세 체크박스.</w:t>
      </w:r>
    </w:p>
    <w:p>
      <w:pPr>
        <w:pBdr>
          <w:bottom w:val="single" w:sz="6" w:space="1" w:color="2E3A87"/>
        </w:pBdr>
        <w:spacing w:after="60" w:before="60"/>
      </w:pPr>
    </w:p>
    <w:p>
      <w:pPr>
        <w:pStyle w:val="Heading2"/>
      </w:pPr>
      <w:r>
        <w:rPr>
          <w:rFonts w:ascii="맑은 고딕" w:eastAsia="맑은 고딕" w:hAnsi="맑은 고딕" w:cs="맑은 고딕"/>
          <w:i w:val="0"/>
          <w:iCs w:val="0"/>
        </w:rPr>
        <w:t>쟁점 1. 국외이전 동의의 적법성</w:t>
      </w:r>
    </w:p>
    <w:p>
      <w:pPr>
        <w:spacing w:after="40" w:before="80"/>
      </w:pPr>
      <w:r>
        <w:rPr>
          <w:rFonts w:ascii="맑은 고딕" w:eastAsia="맑은 고딕" w:hAnsi="맑은 고딕" w:cs="맑은 고딕"/>
          <w:b/>
          <w:bCs/>
          <w:color w:val="555555"/>
          <w:sz w:val="19"/>
          <w:szCs w:val="19"/>
        </w:rPr>
        <w:t>현황</w:t>
      </w:r>
    </w:p>
    <w:p>
      <w:pPr>
        <w:spacing w:after="120"/>
      </w:pPr>
      <w:r>
        <w:rPr>
          <w:rFonts w:ascii="맑은 고딕" w:eastAsia="맑은 고딕" w:hAnsi="맑은 고딕" w:cs="맑은 고딕"/>
          <w:i w:val="0"/>
          <w:iCs w:val="0"/>
        </w:rPr>
        <w:t>미국 소재 Snowflake·Supabase·Google에 데이터가 이전됨. 동의는 앱 최초 실행 동의 화면에서 받음.</w:t>
      </w:r>
    </w:p>
    <w:p>
      <w:pPr>
        <w:spacing w:after="40" w:before="80"/>
      </w:pPr>
      <w:r>
        <w:rPr>
          <w:rFonts w:ascii="맑은 고딕" w:eastAsia="맑은 고딕" w:hAnsi="맑은 고딕" w:cs="맑은 고딕"/>
          <w:b/>
          <w:bCs/>
          <w:color w:val="555555"/>
          <w:sz w:val="19"/>
          <w:szCs w:val="19"/>
        </w:rPr>
        <w:t>쟁점</w:t>
      </w:r>
    </w:p>
    <w:p>
      <w:pPr>
        <w:spacing w:after="120"/>
      </w:pPr>
      <w:r>
        <w:rPr>
          <w:rFonts w:ascii="맑은 고딕" w:eastAsia="맑은 고딕" w:hAnsi="맑은 고딕" w:cs="맑은 고딕"/>
          <w:i w:val="0"/>
          <w:iCs w:val="0"/>
        </w:rPr>
        <w:t xml:space="preserve">개인정보보호법 제28조의8 국외이전 동의는 ① 이전받는 자 ② 목적 ③ 항목 ④ 국가·일시·방법 ⑤ 보유·이용기간 ⑥ 거부권·거부 시 효과를 </w:t>
      </w:r>
      <w:r>
        <w:rPr>
          <w:rFonts w:ascii="맑은 고딕" w:eastAsia="맑은 고딕" w:hAnsi="맑은 고딕" w:cs="맑은 고딕"/>
          <w:b/>
          <w:bCs/>
        </w:rPr>
        <w:t>모두 고지하고 동의</w:t>
      </w:r>
      <w:r>
        <w:rPr>
          <w:rFonts w:ascii="맑은 고딕" w:eastAsia="맑은 고딕" w:hAnsi="맑은 고딕" w:cs="맑은 고딕"/>
          <w:i w:val="0"/>
          <w:iCs w:val="0"/>
        </w:rPr>
        <w:t xml:space="preserve">받아야 함. 처리방침에는 상세히 기재돼 있으나, </w:t>
      </w:r>
      <w:r>
        <w:rPr>
          <w:rFonts w:ascii="맑은 고딕" w:eastAsia="맑은 고딕" w:hAnsi="맑은 고딕" w:cs="맑은 고딕"/>
          <w:b/>
          <w:bCs/>
        </w:rPr>
        <w:t>동의 화면 자체</w:t>
      </w:r>
      <w:r>
        <w:rPr>
          <w:rFonts w:ascii="맑은 고딕" w:eastAsia="맑은 고딕" w:hAnsi="맑은 고딕" w:cs="맑은 고딕"/>
          <w:i w:val="0"/>
          <w:iCs w:val="0"/>
        </w:rPr>
        <w:t>가 이 6개 요건을 항목별·수탁자별로 충족하는지, 아니면 포괄동의에 그치는지가 문제.</w:t>
      </w:r>
    </w:p>
    <w:p>
      <w:pPr>
        <w:spacing w:after="40" w:before="80"/>
      </w:pPr>
      <w:r>
        <w:rPr>
          <w:rFonts w:ascii="맑은 고딕" w:eastAsia="맑은 고딕" w:hAnsi="맑은 고딕" w:cs="맑은 고딕"/>
          <w:b/>
          <w:bCs/>
          <w:color w:val="555555"/>
          <w:sz w:val="19"/>
          <w:szCs w:val="19"/>
        </w:rPr>
        <w:t>질의사항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>현재 동의 화면 문구만으로 제28조의8 국외이전 동의 요건이 충족되는가? 별도 동의 항목 분리가 필요한가?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>처리방침 고지로 갈음 가능한 부분과, 반드시 동의 화면에서 받아야 하는 부분의 경계는?</w:t>
      </w:r>
    </w:p>
    <w:p>
      <w:pPr>
        <w:pStyle w:val="Heading2"/>
      </w:pPr>
      <w:r>
        <w:rPr>
          <w:rFonts w:ascii="맑은 고딕" w:eastAsia="맑은 고딕" w:hAnsi="맑은 고딕" w:cs="맑은 고딕"/>
          <w:i w:val="0"/>
          <w:iCs w:val="0"/>
        </w:rPr>
        <w:t>쟁점 2. 인코딩 토큰·URL 저장 링크의 개인정보성과 암호화 의무</w:t>
      </w:r>
    </w:p>
    <w:p>
      <w:pPr>
        <w:spacing w:after="40" w:before="80"/>
      </w:pPr>
      <w:r>
        <w:rPr>
          <w:rFonts w:ascii="맑은 고딕" w:eastAsia="맑은 고딕" w:hAnsi="맑은 고딕" w:cs="맑은 고딕"/>
          <w:b/>
          <w:bCs/>
          <w:color w:val="555555"/>
          <w:sz w:val="19"/>
          <w:szCs w:val="19"/>
        </w:rPr>
        <w:t>현황</w:t>
      </w:r>
    </w:p>
    <w:p>
      <w:pPr>
        <w:spacing w:after="120"/>
      </w:pPr>
      <w:r>
        <w:rPr>
          <w:rFonts w:ascii="맑은 고딕" w:eastAsia="맑은 고딕" w:hAnsi="맑은 고딕" w:cs="맑은 고딕"/>
          <w:i w:val="0"/>
          <w:iCs w:val="0"/>
        </w:rPr>
        <w:t xml:space="preserve">모임 케미용 사주팔자와 '내 사주 저장 링크'는 입력값을 </w:t>
      </w:r>
      <w:r>
        <w:rPr>
          <w:rFonts w:ascii="맑은 고딕" w:eastAsia="맑은 고딕" w:hAnsi="맑은 고딕" w:cs="맑은 고딕"/>
          <w:b/>
          <w:bCs/>
        </w:rPr>
        <w:t>base64 인코딩 토큰</w:t>
      </w:r>
      <w:r>
        <w:rPr>
          <w:rFonts w:ascii="맑은 고딕" w:eastAsia="맑은 고딕" w:hAnsi="맑은 고딕" w:cs="맑은 고딕"/>
          <w:i w:val="0"/>
          <w:iCs w:val="0"/>
        </w:rPr>
        <w:t>으로 처리(토큰 30분 저장 / 링크는 서버 미저장·URL 포함). 처리방침은 "원본 생년월일시 미저장, 개인정보에 준해 보호, 강한 암호화 아님"이라고 자인.</w:t>
      </w:r>
    </w:p>
    <w:p>
      <w:pPr>
        <w:spacing w:after="40" w:before="80"/>
      </w:pPr>
      <w:r>
        <w:rPr>
          <w:rFonts w:ascii="맑은 고딕" w:eastAsia="맑은 고딕" w:hAnsi="맑은 고딕" w:cs="맑은 고딕"/>
          <w:b/>
          <w:bCs/>
          <w:color w:val="555555"/>
          <w:sz w:val="19"/>
          <w:szCs w:val="19"/>
        </w:rPr>
        <w:t>쟁점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 xml:space="preserve">base64는 암호화가 아니라 쉽게 복원 가능 → 토큰에서 사주 간지·생년월일시가 복원될 수 있다면 사실상 </w:t>
      </w:r>
      <w:r>
        <w:rPr>
          <w:rFonts w:ascii="맑은 고딕" w:eastAsia="맑은 고딕" w:hAnsi="맑은 고딕" w:cs="맑은 고딕"/>
          <w:b/>
          <w:bCs/>
        </w:rPr>
        <w:t>개인정보 또는 가명정보</w:t>
      </w:r>
      <w:r>
        <w:rPr>
          <w:rFonts w:ascii="맑은 고딕" w:eastAsia="맑은 고딕" w:hAnsi="맑은 고딕" w:cs="맑은 고딕"/>
          <w:i w:val="0"/>
          <w:iCs w:val="0"/>
        </w:rPr>
        <w:t>일 수 있고, "저장하지 않는다" 표현과 모순·과장 소지.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 xml:space="preserve">복원 가능한 토큰이 안전성 확보조치 기준상 </w:t>
      </w:r>
      <w:r>
        <w:rPr>
          <w:rFonts w:ascii="맑은 고딕" w:eastAsia="맑은 고딕" w:hAnsi="맑은 고딕" w:cs="맑은 고딕"/>
          <w:b/>
          <w:bCs/>
        </w:rPr>
        <w:t>암호화 의무</w:t>
      </w:r>
      <w:r>
        <w:rPr>
          <w:rFonts w:ascii="맑은 고딕" w:eastAsia="맑은 고딕" w:hAnsi="맑은 고딕" w:cs="맑은 고딕"/>
          <w:i w:val="0"/>
          <w:iCs w:val="0"/>
        </w:rPr>
        <w:t>를 충족하는지. 링크 보유자가 열람 가능하고 재접속 시 미국 서버로 전송·로그 잔존 → 위험 고지만으로 운영자 안전조치 의무가 면제되는지.</w:t>
      </w:r>
    </w:p>
    <w:p>
      <w:pPr>
        <w:spacing w:after="40" w:before="80"/>
      </w:pPr>
      <w:r>
        <w:rPr>
          <w:rFonts w:ascii="맑은 고딕" w:eastAsia="맑은 고딕" w:hAnsi="맑은 고딕" w:cs="맑은 고딕"/>
          <w:b/>
          <w:bCs/>
          <w:color w:val="555555"/>
          <w:sz w:val="19"/>
          <w:szCs w:val="19"/>
        </w:rPr>
        <w:t>질의사항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>복원 가능한 인코딩 토큰이 개인정보/가명정보 중 어디에 해당하는가? 가명정보라면 추가 안전조치·기록의무는?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>토큰 방식이 안전성 확보조치(암호화) 기준을 충족하는가, 진정한 암호화로 전환해야 하는가? 위험 고지로 운영자 책임이 경감되는가?</w:t>
      </w:r>
    </w:p>
    <w:p>
      <w:pPr>
        <w:pStyle w:val="Heading2"/>
      </w:pPr>
      <w:r>
        <w:rPr>
          <w:rFonts w:ascii="맑은 고딕" w:eastAsia="맑은 고딕" w:hAnsi="맑은 고딕" w:cs="맑은 고딕"/>
          <w:i w:val="0"/>
          <w:iCs w:val="0"/>
        </w:rPr>
        <w:t>쟁점 3. 처리방침과 실제 처리의 일치성(정확성)</w:t>
      </w:r>
    </w:p>
    <w:p>
      <w:pPr>
        <w:spacing w:after="40" w:before="80"/>
      </w:pPr>
      <w:r>
        <w:rPr>
          <w:rFonts w:ascii="맑은 고딕" w:eastAsia="맑은 고딕" w:hAnsi="맑은 고딕" w:cs="맑은 고딕"/>
          <w:b/>
          <w:bCs/>
          <w:color w:val="555555"/>
          <w:sz w:val="19"/>
          <w:szCs w:val="19"/>
        </w:rPr>
        <w:t>현황 / 쟁점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 xml:space="preserve">"서버에 저장하지 않는다"는 핵심 표현이 토큰(30분 저장)·통계 로그(180일 저장)와 </w:t>
      </w:r>
      <w:r>
        <w:rPr>
          <w:rFonts w:ascii="맑은 고딕" w:eastAsia="맑은 고딕" w:hAnsi="맑은 고딕" w:cs="맑은 고딕"/>
          <w:b/>
          <w:bCs/>
        </w:rPr>
        <w:t>모순되어 보이지 않는지</w:t>
      </w:r>
      <w:r>
        <w:rPr>
          <w:rFonts w:ascii="맑은 고딕" w:eastAsia="맑은 고딕" w:hAnsi="맑은 고딕" w:cs="맑은 고딕"/>
          <w:i w:val="0"/>
          <w:iCs w:val="0"/>
        </w:rPr>
        <w:t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 xml:space="preserve">방침 기재와 실제 코드 동작이 불일치할 경우 </w:t>
      </w:r>
      <w:r>
        <w:rPr>
          <w:rFonts w:ascii="맑은 고딕" w:eastAsia="맑은 고딕" w:hAnsi="맑은 고딕" w:cs="맑은 고딕"/>
          <w:b/>
          <w:bCs/>
        </w:rPr>
        <w:t>허위·과장 표시</w:t>
      </w:r>
      <w:r>
        <w:rPr>
          <w:rFonts w:ascii="맑은 고딕" w:eastAsia="맑은 고딕" w:hAnsi="맑은 고딕" w:cs="맑은 고딕"/>
          <w:i w:val="0"/>
          <w:iCs w:val="0"/>
        </w:rPr>
        <w:t xml:space="preserve"> 및 행정 제재 가능성.</w:t>
      </w:r>
    </w:p>
    <w:p>
      <w:pPr>
        <w:spacing w:after="40" w:before="80"/>
      </w:pPr>
      <w:r>
        <w:rPr>
          <w:rFonts w:ascii="맑은 고딕" w:eastAsia="맑은 고딕" w:hAnsi="맑은 고딕" w:cs="맑은 고딕"/>
          <w:b/>
          <w:bCs/>
          <w:color w:val="555555"/>
          <w:sz w:val="19"/>
          <w:szCs w:val="19"/>
        </w:rPr>
        <w:t>질의사항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>현재 표현들이 오인 소지 없이 정확한가? 수정이 필요한 문구는 무엇인가?</w:t>
      </w:r>
    </w:p>
    <w:p>
      <w:pPr>
        <w:pBdr>
          <w:bottom w:val="single" w:sz="6" w:space="1" w:color="2E3A87"/>
        </w:pBdr>
        <w:spacing w:after="60" w:before="60"/>
      </w:pPr>
    </w:p>
    <w:p>
      <w:pPr>
        <w:spacing w:after="40" w:before="80"/>
      </w:pPr>
      <w:r>
        <w:rPr>
          <w:rFonts w:ascii="맑은 고딕" w:eastAsia="맑은 고딕" w:hAnsi="맑은 고딕" w:cs="맑은 고딕"/>
          <w:b/>
          <w:bCs/>
          <w:color w:val="555555"/>
          <w:sz w:val="19"/>
          <w:szCs w:val="19"/>
        </w:rPr>
        <w:t>참고 — 차순위 쟁점(중대성 낮음, 여력 시 검토)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eastAsia="맑은 고딕" w:hAnsi="맑은 고딕" w:cs="맑은 고딕"/>
          <w:i w:val="0"/>
          <w:iCs w:val="0"/>
        </w:rPr>
        <w:t>만 14세 미만 차단의 실효성(자기신고 방식), AdMob GAID 제공/위탁 구분, 통계 로그의 익명/가명 판단, 해외 SaaS 위탁계약(DPA), 이용약관 부재.</w:t>
      </w:r>
    </w:p>
    <w:p>
      <w:pPr>
        <w:spacing w:after="160"/>
      </w:pP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※ 본 질의서는 의뢰인이 처리방침과 실제 처리를 대조해 정리한 쟁점이며 법적 결론이 아닙니다. 검토 의견을 요청드립니다.</w:t>
      </w: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77fe60"/>
    <w:multiLevelType w:val="hybridMultilevel"/>
    <w:lvl w:ilvl="0" w:tentative="on">
      <w:start w:val="1"/>
      <w:numFmt w:val="bullet"/>
      <w:lvlText w:val="•"/>
      <w:lvlJc w:val="left"/>
      <w:pPr>
        <w:ind w:left="540" w:hanging="270"/>
      </w:pPr>
    </w:lvl>
  </w:abstractNum>
  <w:abstractNum w:abstractNumId="1">
    <w:nsid w:val="fbbfff50"/>
    <w:multiLevelType w:val="hybridMultilevel"/>
    <w:lvl w:ilvl="0" w:tentative="on">
      <w:start w:val="1"/>
      <w:lvlText w:val="Q%1."/>
      <w:lvlJc w:val="left"/>
      <w:pPr>
        <w:ind w:left="60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hwaki</cp:lastModifiedBy>
  <cp:revision>1</cp:revision>
  <dcterms:created xsi:type="dcterms:W3CDTF">2026-06-25T08:15:52Z</dcterms:created>
  <dcterms:modified xsi:type="dcterms:W3CDTF">2026-06-25T08:39:29Z</dcterms:modified>
  <cp:version>1300.0100.01</cp:version>
</cp:coreProperties>
</file>