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맑은 고딕" w:hAnsi="맑은 고딕" w:eastAsia="맑은 고딕"/>
          <w:b/>
          <w:color w:val="1A1A1A"/>
          <w:sz w:val="40"/>
        </w:rPr>
        <w:t>딥러닝 기반 실시간 투구 전략 최적화 시스템</w:t>
      </w:r>
    </w:p>
    <w:p>
      <w:pPr>
        <w:jc w:val="center"/>
      </w:pPr>
      <w:r>
        <w:rPr>
          <w:rFonts w:ascii="맑은 고딕" w:hAnsi="맑은 고딕" w:eastAsia="맑은 고딕"/>
          <w:b w:val="0"/>
          <w:color w:val="666666"/>
          <w:sz w:val="25"/>
        </w:rPr>
        <w:t>― 데이터 누수의 발견과 파이프라인 재설계 ―</w:t>
      </w:r>
    </w:p>
    <w:p/>
    <w:p>
      <w:pPr>
        <w:jc w:val="center"/>
      </w:pPr>
      <w:r>
        <w:rPr>
          <w:rFonts w:ascii="맑은 고딕" w:hAnsi="맑은 고딕" w:eastAsia="맑은 고딕"/>
          <w:b/>
          <w:color w:val="1C5CAB"/>
          <w:sz w:val="22"/>
        </w:rPr>
        <w:t>개정판</w:t>
      </w:r>
    </w:p>
    <w:p/>
    <w:p/>
    <w:p/>
    <w:p/>
    <w:p/>
    <w:p/>
    <w:p/>
    <w:p/>
    <w:p>
      <w:pPr>
        <w:jc w:val="center"/>
      </w:pPr>
      <w:r>
        <w:rPr>
          <w:rFonts w:ascii="맑은 고딕" w:hAnsi="맑은 고딕" w:eastAsia="맑은 고딕"/>
          <w:b w:val="0"/>
          <w:color w:val="1A1A1A"/>
          <w:sz w:val="24"/>
        </w:rPr>
        <w:t>22013442  황일준</w:t>
      </w:r>
    </w:p>
    <w:p>
      <w:r>
        <w:br w:type="page"/>
      </w:r>
    </w:p>
    <w:p>
      <w:pPr>
        <w:spacing w:before="320" w:after="120"/>
      </w:pPr>
      <w:r>
        <w:rPr>
          <w:rFonts w:ascii="맑은 고딕" w:hAnsi="맑은 고딕" w:eastAsia="맑은 고딕"/>
          <w:b/>
          <w:color w:val="1A1A1A"/>
          <w:sz w:val="30"/>
        </w:rPr>
        <w:t>요약</w:t>
      </w:r>
    </w:p>
    <w:p>
      <w:pPr>
        <w:spacing w:after="120"/>
        <w:ind w:firstLine="227"/>
      </w:pPr>
      <w:r>
        <w:rPr>
          <w:rFonts w:ascii="맑은 고딕" w:hAnsi="맑은 고딕" w:eastAsia="맑은 고딕"/>
          <w:b w:val="0"/>
          <w:i w:val="0"/>
          <w:color w:val="1A1A1A"/>
          <w:sz w:val="21"/>
        </w:rPr>
        <w:t xml:space="preserve">본 연구는 MLB Statcast 투구 단위 데이터를 이용해 투구 결과를 예측하고, 주어진 상황에서 기대 실점이 가장 낮은 구종과 코스를 제시하는 시스템을 구축한다. 초기 버전은 검증 정확도 67.52%를 보고하였으나, 본 개정 과정에서 그 수치가 </w:t>
      </w:r>
      <w:r>
        <w:rPr>
          <w:rFonts w:ascii="맑은 고딕" w:hAnsi="맑은 고딕" w:eastAsia="맑은 고딕"/>
          <w:b/>
          <w:i w:val="0"/>
          <w:color w:val="1A1A1A"/>
          <w:sz w:val="21"/>
        </w:rPr>
        <w:t>미래 정보 누수로 만들어진 값</w:t>
      </w:r>
      <w:r>
        <w:rPr>
          <w:rFonts w:ascii="맑은 고딕" w:hAnsi="맑은 고딕" w:eastAsia="맑은 고딕"/>
          <w:b w:val="0"/>
          <w:i w:val="0"/>
          <w:color w:val="1A1A1A"/>
          <w:sz w:val="21"/>
        </w:rPr>
        <w:t>임을 확인하였다. Statcast 원본이 역시간순으로 제공된다는 사실을 놓쳐, 결과적으로 나중에 던진 공들로 먼저 던진 공의 결과를 맞히는 문제를 학습하고 있었다.</w:t>
      </w:r>
    </w:p>
    <w:p>
      <w:pPr>
        <w:spacing w:after="120"/>
        <w:ind w:firstLine="227"/>
      </w:pPr>
      <w:r>
        <w:rPr>
          <w:rFonts w:ascii="맑은 고딕" w:hAnsi="맑은 고딕" w:eastAsia="맑은 고딕"/>
          <w:b w:val="0"/>
          <w:i w:val="0"/>
          <w:color w:val="1A1A1A"/>
          <w:sz w:val="21"/>
        </w:rPr>
        <w:t>이에 데이터 구성부터 평가 방법까지 전면 재설계하였다. 시퀀스를 시간순으로 정렬하고 타석 내부로 제한하였으며, 분할을 시즌 단위로 바꾸고, 불균형 이중 보정을 제거하였다. 2024 시즌 40에폭 학습, 2025 시즌 712,516구 홀드아웃 평가 결과 log-loss 1.1259, macro AUC 0.8410, ECE 0.0084를 얻었다.</w:t>
      </w:r>
    </w:p>
    <w:p>
      <w:pPr>
        <w:spacing w:after="120"/>
        <w:ind w:firstLine="227"/>
      </w:pPr>
      <w:r>
        <w:rPr>
          <w:rFonts w:ascii="맑은 고딕" w:hAnsi="맑은 고딕" w:eastAsia="맑은 고딕"/>
          <w:b w:val="0"/>
          <w:i w:val="0"/>
          <w:color w:val="1A1A1A"/>
          <w:sz w:val="21"/>
        </w:rPr>
        <w:t xml:space="preserve">어블레이션을 통해 맥락 스킵 연결이 성능에 기여함을 확인하였으나, 동시에 </w:t>
      </w:r>
      <w:r>
        <w:rPr>
          <w:rFonts w:ascii="맑은 고딕" w:hAnsi="맑은 고딕" w:eastAsia="맑은 고딕"/>
          <w:b/>
          <w:i w:val="0"/>
          <w:color w:val="1A1A1A"/>
          <w:sz w:val="21"/>
        </w:rPr>
        <w:t>투구 시퀀스 자체의 기여는 예상보다 작다</w:t>
      </w:r>
      <w:r>
        <w:rPr>
          <w:rFonts w:ascii="맑은 고딕" w:hAnsi="맑은 고딕" w:eastAsia="맑은 고딕"/>
          <w:b w:val="0"/>
          <w:i w:val="0"/>
          <w:color w:val="1A1A1A"/>
          <w:sz w:val="21"/>
        </w:rPr>
        <w:t>는 사실도 함께 확인하였다. 이는 초기 연구가 전제한 '투구 배합의 시계열 맥락이 결정적'이라는 가정을 이 데이터가 강하게 지지하지 않음을 뜻한다.</w:t>
      </w:r>
    </w:p>
    <w:p>
      <w:pPr>
        <w:spacing w:before="320" w:after="120"/>
      </w:pPr>
      <w:r>
        <w:rPr>
          <w:rFonts w:ascii="맑은 고딕" w:hAnsi="맑은 고딕" w:eastAsia="맑은 고딕"/>
          <w:b/>
          <w:color w:val="1A1A1A"/>
          <w:sz w:val="30"/>
        </w:rPr>
        <w:t>1. 서론</w:t>
      </w:r>
    </w:p>
    <w:p>
      <w:pPr>
        <w:spacing w:after="120"/>
        <w:ind w:firstLine="227"/>
      </w:pPr>
      <w:r>
        <w:rPr>
          <w:rFonts w:ascii="맑은 고딕" w:hAnsi="맑은 고딕" w:eastAsia="맑은 고딕"/>
          <w:b w:val="0"/>
          <w:i w:val="0"/>
          <w:color w:val="1A1A1A"/>
          <w:sz w:val="21"/>
        </w:rPr>
        <w:t xml:space="preserve">현대 야구에서 투수와 타자의 승부는 볼카운트, 주자 상황, 직전 투구의 배합 등 매 순간 변화하는 맥락 속에서 이루어진다. 타율·출루율·장타율과 같은 누적 지표는 선수의 전반적 가치를 요약하는 데 유용하지만, 특정 시점의 의사결정을 돕지는 못한다. 투수와 포수가 실제로 필요로 하는 정보는 '지금 이 상황에서 어떤 공을 어디에 던져야 하는가'이며, 이는 결과가 아니라 </w:t>
      </w:r>
      <w:r>
        <w:rPr>
          <w:rFonts w:ascii="맑은 고딕" w:hAnsi="맑은 고딕" w:eastAsia="맑은 고딕"/>
          <w:b/>
          <w:i w:val="0"/>
          <w:color w:val="1A1A1A"/>
          <w:sz w:val="21"/>
        </w:rPr>
        <w:t>선택</w:t>
      </w:r>
      <w:r>
        <w:rPr>
          <w:rFonts w:ascii="맑은 고딕" w:hAnsi="맑은 고딕" w:eastAsia="맑은 고딕"/>
          <w:b w:val="0"/>
          <w:i w:val="0"/>
          <w:color w:val="1A1A1A"/>
          <w:sz w:val="21"/>
        </w:rPr>
        <w:t>에 관한 질문이다.</w:t>
      </w:r>
    </w:p>
    <w:p>
      <w:pPr>
        <w:spacing w:after="120"/>
        <w:ind w:firstLine="227"/>
      </w:pPr>
      <w:r>
        <w:rPr>
          <w:rFonts w:ascii="맑은 고딕" w:hAnsi="맑은 고딕" w:eastAsia="맑은 고딕"/>
          <w:b w:val="0"/>
          <w:i w:val="0"/>
          <w:color w:val="1A1A1A"/>
          <w:sz w:val="21"/>
        </w:rPr>
        <w:t xml:space="preserve">본 연구는 이 질문에 답하기 위해 투구 단위 결과 예측 모델을 학습하고, 그 확률 분포를 기대 실점으로 환산하여 후보 투구를 순위화하는 시스템을 구축한다. 다만 본 보고서의 서술 순서는 통상적인 연구 보고서와 다르다. 초기 구현이 산출한 수치가 유효하지 않음을 발견한 것이 본 개정의 출발점이므로, </w:t>
      </w:r>
      <w:r>
        <w:rPr>
          <w:rFonts w:ascii="맑은 고딕" w:hAnsi="맑은 고딕" w:eastAsia="맑은 고딕"/>
          <w:b/>
          <w:i w:val="0"/>
          <w:color w:val="1A1A1A"/>
          <w:sz w:val="21"/>
        </w:rPr>
        <w:t>무엇이 잘못되었는지를 먼저 규명한 뒤</w:t>
      </w:r>
      <w:r>
        <w:rPr>
          <w:rFonts w:ascii="맑은 고딕" w:hAnsi="맑은 고딕" w:eastAsia="맑은 고딕"/>
          <w:b w:val="0"/>
          <w:i w:val="0"/>
          <w:color w:val="1A1A1A"/>
          <w:sz w:val="21"/>
        </w:rPr>
        <w:t xml:space="preserve"> 그에 대응하는 설계를 제시한다.</w:t>
      </w:r>
    </w:p>
    <w:p>
      <w:pPr>
        <w:spacing w:after="120"/>
        <w:ind w:firstLine="227"/>
      </w:pPr>
      <w:r>
        <w:rPr>
          <w:rFonts w:ascii="맑은 고딕" w:hAnsi="맑은 고딕" w:eastAsia="맑은 고딕"/>
          <w:b w:val="0"/>
          <w:i w:val="0"/>
          <w:color w:val="1A1A1A"/>
          <w:sz w:val="21"/>
        </w:rPr>
        <w:t>본 연구의 기여는 다음과 같다.</w:t>
      </w:r>
    </w:p>
    <w:p>
      <w:pPr>
        <w:pStyle w:val="ListBullet"/>
        <w:spacing w:after="60" w:line="324" w:lineRule="auto"/>
        <w:ind w:left="397"/>
      </w:pPr>
      <w:r>
        <w:rPr>
          <w:rFonts w:ascii="맑은 고딕" w:hAnsi="맑은 고딕" w:eastAsia="맑은 고딕"/>
          <w:b w:val="0"/>
          <w:color w:val="1A1A1A"/>
          <w:sz w:val="21"/>
        </w:rPr>
        <w:t xml:space="preserve">Statcast 데이터를 이용한 시퀀스 모델링에서 발생하기 쉬운 </w:t>
      </w:r>
      <w:r>
        <w:rPr>
          <w:rFonts w:ascii="맑은 고딕" w:hAnsi="맑은 고딕" w:eastAsia="맑은 고딕"/>
          <w:b/>
          <w:color w:val="1A1A1A"/>
          <w:sz w:val="21"/>
        </w:rPr>
        <w:t>시간 역순 누수를 구체적으로 규명</w:t>
      </w:r>
      <w:r>
        <w:rPr>
          <w:rFonts w:ascii="맑은 고딕" w:hAnsi="맑은 고딕" w:eastAsia="맑은 고딕"/>
          <w:b w:val="0"/>
          <w:color w:val="1A1A1A"/>
          <w:sz w:val="21"/>
        </w:rPr>
        <w:t>하고, 그것이 성능 수치를 어떻게 부풀리는지 정량적으로 보였다.</w:t>
      </w:r>
    </w:p>
    <w:p>
      <w:pPr>
        <w:pStyle w:val="ListBullet"/>
        <w:spacing w:after="60" w:line="324" w:lineRule="auto"/>
        <w:ind w:left="397"/>
      </w:pPr>
      <w:r>
        <w:rPr>
          <w:rFonts w:ascii="맑은 고딕" w:hAnsi="맑은 고딕" w:eastAsia="맑은 고딕"/>
          <w:b w:val="0"/>
          <w:color w:val="1A1A1A"/>
          <w:sz w:val="21"/>
        </w:rPr>
        <w:t xml:space="preserve">타석 단위 시퀀스 구성, 시즌 단위 분할, 학습 구간 한정 정규화를 통해 </w:t>
      </w:r>
      <w:r>
        <w:rPr>
          <w:rFonts w:ascii="맑은 고딕" w:hAnsi="맑은 고딕" w:eastAsia="맑은 고딕"/>
          <w:b/>
          <w:color w:val="1A1A1A"/>
          <w:sz w:val="21"/>
        </w:rPr>
        <w:t>재현 가능하고 누수 없는 파이프라인</w:t>
      </w:r>
      <w:r>
        <w:rPr>
          <w:rFonts w:ascii="맑은 고딕" w:hAnsi="맑은 고딕" w:eastAsia="맑은 고딕"/>
          <w:b w:val="0"/>
          <w:color w:val="1A1A1A"/>
          <w:sz w:val="21"/>
        </w:rPr>
        <w:t>을 재구축하였다.</w:t>
      </w:r>
    </w:p>
    <w:p>
      <w:pPr>
        <w:pStyle w:val="ListBullet"/>
        <w:spacing w:after="60" w:line="324" w:lineRule="auto"/>
        <w:ind w:left="397"/>
      </w:pPr>
      <w:r>
        <w:rPr>
          <w:rFonts w:ascii="맑은 고딕" w:hAnsi="맑은 고딕" w:eastAsia="맑은 고딕"/>
          <w:b w:val="0"/>
          <w:color w:val="1A1A1A"/>
          <w:sz w:val="21"/>
        </w:rPr>
        <w:t xml:space="preserve">임의 가중치에 의존하던 추천 점수를 Statcast 기대 득점 변화량에 근거한 </w:t>
      </w:r>
      <w:r>
        <w:rPr>
          <w:rFonts w:ascii="맑은 고딕" w:hAnsi="맑은 고딕" w:eastAsia="맑은 고딕"/>
          <w:b/>
          <w:color w:val="1A1A1A"/>
          <w:sz w:val="21"/>
        </w:rPr>
        <w:t>카운트 조건부 기대 실점</w:t>
      </w:r>
      <w:r>
        <w:rPr>
          <w:rFonts w:ascii="맑은 고딕" w:hAnsi="맑은 고딕" w:eastAsia="맑은 고딕"/>
          <w:b w:val="0"/>
          <w:color w:val="1A1A1A"/>
          <w:sz w:val="21"/>
        </w:rPr>
        <w:t>으로 대체하였다.</w:t>
      </w:r>
    </w:p>
    <w:p>
      <w:pPr>
        <w:pStyle w:val="ListBullet"/>
        <w:spacing w:after="60" w:line="324" w:lineRule="auto"/>
        <w:ind w:left="397"/>
      </w:pPr>
      <w:r>
        <w:rPr>
          <w:rFonts w:ascii="맑은 고딕" w:hAnsi="맑은 고딕" w:eastAsia="맑은 고딕"/>
          <w:b w:val="0"/>
          <w:color w:val="1A1A1A"/>
          <w:sz w:val="21"/>
        </w:rPr>
        <w:t xml:space="preserve">한 번에 한 요소만 변경하는 어블레이션으로 각 구성요소의 기여를 분리하고, </w:t>
      </w:r>
      <w:r>
        <w:rPr>
          <w:rFonts w:ascii="맑은 고딕" w:hAnsi="맑은 고딕" w:eastAsia="맑은 고딕"/>
          <w:b/>
          <w:color w:val="1A1A1A"/>
          <w:sz w:val="21"/>
        </w:rPr>
        <w:t>시퀀스의 기여가 작다는 부정적 결과를 포함해</w:t>
      </w:r>
      <w:r>
        <w:rPr>
          <w:rFonts w:ascii="맑은 고딕" w:hAnsi="맑은 고딕" w:eastAsia="맑은 고딕"/>
          <w:b w:val="0"/>
          <w:color w:val="1A1A1A"/>
          <w:sz w:val="21"/>
        </w:rPr>
        <w:t xml:space="preserve"> 보고하였다.</w:t>
      </w:r>
    </w:p>
    <w:p>
      <w:pPr>
        <w:spacing w:before="320" w:after="120"/>
      </w:pPr>
      <w:r>
        <w:rPr>
          <w:rFonts w:ascii="맑은 고딕" w:hAnsi="맑은 고딕" w:eastAsia="맑은 고딕"/>
          <w:b/>
          <w:color w:val="1A1A1A"/>
          <w:sz w:val="30"/>
        </w:rPr>
        <w:t>2. 관련 연구</w:t>
      </w:r>
    </w:p>
    <w:p>
      <w:pPr>
        <w:spacing w:after="120"/>
        <w:ind w:firstLine="227"/>
      </w:pPr>
      <w:r>
        <w:rPr>
          <w:rFonts w:ascii="맑은 고딕" w:hAnsi="맑은 고딕" w:eastAsia="맑은 고딕"/>
          <w:b w:val="0"/>
          <w:i w:val="0"/>
          <w:color w:val="1A1A1A"/>
          <w:sz w:val="21"/>
        </w:rPr>
        <w:t>투구 결과 예측에는 오랫동안 트리 기반 모델이 사용되었다. Sidle와 Tran은 랜덤 포레스트로 구종을 예측하며 타자 유리 카운트에서 예측 가능성이 높아짐을 보였고, Swartz 등은 투구 품질 평가에서 낮고 바깥쪽 코스의 효과와 카운트의 중요성을 확인하였다. 이들 모델은 각 투구를 독립 사건으로 다루므로 배합의 순서 효과를 포착하기 어렵다는 한계가 있다.</w:t>
      </w:r>
    </w:p>
    <w:p>
      <w:pPr>
        <w:spacing w:after="120"/>
        <w:ind w:firstLine="227"/>
      </w:pPr>
      <w:r>
        <w:rPr>
          <w:rFonts w:ascii="맑은 고딕" w:hAnsi="맑은 고딕" w:eastAsia="맑은 고딕"/>
          <w:b w:val="0"/>
          <w:i w:val="0"/>
          <w:color w:val="1A1A1A"/>
          <w:sz w:val="21"/>
        </w:rPr>
        <w:t>이를 보완하기 위해 시퀀스 모델이 도입되었다. Kneita는 Transformer 기반 투구 결과 예측에서 시퀀스 맥락과 투수 강점 정렬의 중요성을 보고하였다. 초기 버전의 본 연구도 이 계열에 속하며, 긴 시퀀스에서 현재 상황 정보가 희석되는 문제를 지적하고 맥락을 출력층에 직접 결합하는 구조를 제안하였다.</w:t>
      </w:r>
    </w:p>
    <w:p>
      <w:pPr>
        <w:spacing w:after="120"/>
        <w:ind w:firstLine="227"/>
      </w:pPr>
      <w:r>
        <w:rPr>
          <w:rFonts w:ascii="맑은 고딕" w:hAnsi="맑은 고딕" w:eastAsia="맑은 고딕"/>
          <w:b w:val="0"/>
          <w:i w:val="0"/>
          <w:color w:val="1A1A1A"/>
          <w:sz w:val="21"/>
        </w:rPr>
        <w:t>가장 최근의 연구인 Takamido와 Nakamoto(2026)는 반사실(counterfactual) 분석을 도입하여, 실제로 던지지 않은 공의 가치를 평가하는 틀을 제시하였다. 이들은 타석 단위 시퀀스와 맥락 정보를 별도 경로로 처리하는 이원 구조를 사용하였고, 최종구뿐 아니라 그 직전의 셋업 피치를 대체하며 시즌 지표(K/9, ERA, oSLG)에 미치는 영향을 추정하였다. 본 개정판은 이 연구의 데이터 구성 방식 — 타석 단위 시퀀스, 좌타자 좌표 미러링, 타자별 스트라이크존 정규화, 투수×구종 실측 평균을 이용한 반사실 대체, 제구 오차를 반영한 윈도우 평균 — 을 다수 채택하였다.</w:t>
      </w:r>
    </w:p>
    <w:p>
      <w:pPr>
        <w:spacing w:after="120"/>
        <w:ind w:firstLine="227"/>
      </w:pPr>
      <w:r>
        <w:rPr>
          <w:rFonts w:ascii="맑은 고딕" w:hAnsi="맑은 고딕" w:eastAsia="맑은 고딕"/>
          <w:b w:val="0"/>
          <w:i w:val="0"/>
          <w:color w:val="1A1A1A"/>
          <w:sz w:val="21"/>
        </w:rPr>
        <w:t>특기할 점은 이들이 보고한 결과의 방향이다. 셋업 피치 최적화의 효과(K/9 +1.10~1.23)는 최종구 최적화의 효과(+1.26~3.54)보다 일관되게 작았다. 후술하듯 본 연구의 어블레이션 결과도 같은 방향을 가리킨다.</w:t>
      </w:r>
    </w:p>
    <w:p>
      <w:pPr>
        <w:spacing w:before="320" w:after="120"/>
      </w:pPr>
      <w:r>
        <w:rPr>
          <w:rFonts w:ascii="맑은 고딕" w:hAnsi="맑은 고딕" w:eastAsia="맑은 고딕"/>
          <w:b/>
          <w:color w:val="1A1A1A"/>
          <w:sz w:val="30"/>
        </w:rPr>
        <w:t>3. 초기 구현의 재현과 결함 분석</w:t>
      </w:r>
    </w:p>
    <w:p>
      <w:pPr>
        <w:spacing w:after="120"/>
        <w:ind w:firstLine="227"/>
      </w:pPr>
      <w:r>
        <w:rPr>
          <w:rFonts w:ascii="맑은 고딕" w:hAnsi="맑은 고딕" w:eastAsia="맑은 고딕"/>
          <w:b w:val="0"/>
          <w:i w:val="0"/>
          <w:color w:val="1A1A1A"/>
          <w:sz w:val="21"/>
        </w:rPr>
        <w:t>개정 작업은 초기 구현의 재현에서 시작하였다. 학습 노트북과 원본 데이터를 확보하여 전처리 과정을 추적한 결과, 보고된 성능을 무효화하는 결함들이 확인되었다.</w:t>
      </w:r>
    </w:p>
    <w:p>
      <w:pPr>
        <w:spacing w:before="200" w:after="120"/>
      </w:pPr>
      <w:r>
        <w:rPr>
          <w:rFonts w:ascii="맑은 고딕" w:hAnsi="맑은 고딕" w:eastAsia="맑은 고딕"/>
          <w:b/>
          <w:color w:val="1C5CAB"/>
          <w:sz w:val="25"/>
        </w:rPr>
        <w:t>3.1 시간 역순 시퀀스로 인한 미래 정보 누수</w:t>
      </w:r>
    </w:p>
    <w:p>
      <w:pPr>
        <w:spacing w:after="120"/>
        <w:ind w:firstLine="227"/>
      </w:pPr>
      <w:r>
        <w:rPr>
          <w:rFonts w:ascii="맑은 고딕" w:hAnsi="맑은 고딕" w:eastAsia="맑은 고딕"/>
          <w:b w:val="0"/>
          <w:i w:val="0"/>
          <w:color w:val="1A1A1A"/>
          <w:sz w:val="21"/>
        </w:rPr>
        <w:t>pybaseball이 제공하는 Statcast 원본은 역시간순으로 정렬되어 있다. 실제 데이터를 확인한 결과 한 타석 안에서 pitch_number가 7, 6, 5 … 1의 순서로 나타났으며, 전체 629,843행에서 날짜가 과거로 이동하는 전환이 158회, 미래로 이동하는 전환이 5회였다. 초기 코드에는 정렬 구문이 존재하지 않았다.</w:t>
      </w:r>
    </w:p>
    <w:p>
      <w:pPr>
        <w:spacing w:before="80" w:after="160" w:line="276" w:lineRule="auto"/>
        <w:ind w:left="340"/>
      </w:pPr>
      <w:r>
        <w:rPr>
          <w:rFonts w:ascii="Consolas" w:hAnsi="Consolas" w:eastAsia="Consolas"/>
          <w:b w:val="0"/>
          <w:color w:val="333333"/>
          <w:sz w:val="18"/>
        </w:rPr>
        <w:t>grouped = df.groupby('batter')       # 역순이 그대로 유지된다</w:t>
        <w:br/>
        <w:t>sequences.append(data[i : i+8])</w:t>
        <w:br/>
        <w:t>targets.append(target_vals[i+7])     # 윈도우의 마지막 = 시간상 가장 과거</w:t>
      </w:r>
    </w:p>
    <w:p>
      <w:pPr>
        <w:spacing w:after="120"/>
        <w:ind w:firstLine="227"/>
      </w:pPr>
      <w:r>
        <w:rPr>
          <w:rFonts w:ascii="맑은 고딕" w:hAnsi="맑은 고딕" w:eastAsia="맑은 고딕"/>
          <w:b w:val="0"/>
          <w:i w:val="0"/>
          <w:color w:val="1A1A1A"/>
          <w:sz w:val="21"/>
        </w:rPr>
        <w:t xml:space="preserve">그 결과 모델은 타깃보다 </w:t>
      </w:r>
      <w:r>
        <w:rPr>
          <w:rFonts w:ascii="맑은 고딕" w:hAnsi="맑은 고딕" w:eastAsia="맑은 고딕"/>
          <w:b/>
          <w:i w:val="0"/>
          <w:color w:val="1A1A1A"/>
          <w:sz w:val="21"/>
        </w:rPr>
        <w:t>나중에</w:t>
      </w:r>
      <w:r>
        <w:rPr>
          <w:rFonts w:ascii="맑은 고딕" w:hAnsi="맑은 고딕" w:eastAsia="맑은 고딕"/>
          <w:b w:val="0"/>
          <w:i w:val="0"/>
          <w:color w:val="1A1A1A"/>
          <w:sz w:val="21"/>
        </w:rPr>
        <w:t xml:space="preserve"> 던져진 7개의 공을 입력으로 받아 그보다 </w:t>
      </w:r>
      <w:r>
        <w:rPr>
          <w:rFonts w:ascii="맑은 고딕" w:hAnsi="맑은 고딕" w:eastAsia="맑은 고딕"/>
          <w:b/>
          <w:i w:val="0"/>
          <w:color w:val="1A1A1A"/>
          <w:sz w:val="21"/>
        </w:rPr>
        <w:t>먼저</w:t>
      </w:r>
      <w:r>
        <w:rPr>
          <w:rFonts w:ascii="맑은 고딕" w:hAnsi="맑은 고딕" w:eastAsia="맑은 고딕"/>
          <w:b w:val="0"/>
          <w:i w:val="0"/>
          <w:color w:val="1A1A1A"/>
          <w:sz w:val="21"/>
        </w:rPr>
        <w:t xml:space="preserve"> 던져진 1개 공의 결과를 예측하고 있었다. 더욱이 볼카운트가 모든 타임스텝에 포함되어 있었으므로, 타깃 다음 투구의 카운트를 비교하는 것만으로 타깃의 결과를 직접 읽어낼 수 있었다. 볼이 1 증가했으면 볼, 스트라이크가 1 증가했으면 스트라이크이며, 0-0으로 초기화되었다면 그 투구가 타석을 종료한 것이다. 전체의 절반 이상을 차지하는 볼과 스트라이크가 입력에서 직접 관측 가능했다.</w:t>
      </w:r>
    </w:p>
    <w:p>
      <w:pPr>
        <w:jc w:val="center"/>
      </w:pPr>
      <w:r>
        <w:drawing>
          <wp:inline xmlns:a="http://schemas.openxmlformats.org/drawingml/2006/main" xmlns:pic="http://schemas.openxmlformats.org/drawingml/2006/picture">
            <wp:extent cx="5760000" cy="2432000"/>
            <wp:docPr id="1" name="Picture 1"/>
            <wp:cNvGraphicFramePr>
              <a:graphicFrameLocks noChangeAspect="1"/>
            </wp:cNvGraphicFramePr>
            <a:graphic>
              <a:graphicData uri="http://schemas.openxmlformats.org/drawingml/2006/picture">
                <pic:pic>
                  <pic:nvPicPr>
                    <pic:cNvPr id="0" name="fig1_leak.png"/>
                    <pic:cNvPicPr/>
                  </pic:nvPicPr>
                  <pic:blipFill>
                    <a:blip r:embed="rId9"/>
                    <a:stretch>
                      <a:fillRect/>
                    </a:stretch>
                  </pic:blipFill>
                  <pic:spPr>
                    <a:xfrm>
                      <a:off x="0" y="0"/>
                      <a:ext cx="5760000" cy="2432000"/>
                    </a:xfrm>
                    <a:prstGeom prst="rect"/>
                  </pic:spPr>
                </pic:pic>
              </a:graphicData>
            </a:graphic>
          </wp:inline>
        </w:drawing>
      </w:r>
    </w:p>
    <w:p>
      <w:pPr>
        <w:spacing w:before="60" w:after="240" w:line="276" w:lineRule="auto"/>
        <w:jc w:val="center"/>
      </w:pPr>
      <w:r>
        <w:rPr>
          <w:rFonts w:ascii="맑은 고딕" w:hAnsi="맑은 고딕" w:eastAsia="맑은 고딕"/>
          <w:b w:val="0"/>
          <w:color w:val="666666"/>
          <w:sz w:val="18"/>
        </w:rPr>
        <w:t>그림 1. 정렬 누락이 만들어 낸 누수 구조. 원본이 역시간순이므로 정렬 없이 잘라낸 윈도우에서 타깃은 시간상 가장 과거의 투구가 되고, 나머지 입력은 모두 그 이후에 일어난 사건이 된다.</w:t>
      </w:r>
    </w:p>
    <w:p>
      <w:pPr>
        <w:spacing w:before="200" w:after="120"/>
      </w:pPr>
      <w:r>
        <w:rPr>
          <w:rFonts w:ascii="맑은 고딕" w:hAnsi="맑은 고딕" w:eastAsia="맑은 고딕"/>
          <w:b/>
          <w:color w:val="1C5CAB"/>
          <w:sz w:val="25"/>
        </w:rPr>
        <w:t>3.2 무작위 분할과 겹치는 윈도우</w:t>
      </w:r>
    </w:p>
    <w:p>
      <w:pPr>
        <w:spacing w:after="120"/>
        <w:ind w:firstLine="227"/>
      </w:pPr>
      <w:r>
        <w:rPr>
          <w:rFonts w:ascii="맑은 고딕" w:hAnsi="맑은 고딕" w:eastAsia="맑은 고딕"/>
          <w:b w:val="0"/>
          <w:i w:val="0"/>
          <w:color w:val="1A1A1A"/>
          <w:sz w:val="21"/>
        </w:rPr>
        <w:t>초기 보고서는 '시간 순서에 따라 8:2로 분할'하였다고 기술하였으나, 실제 코드는 train_test_split에 stratify를 지정한 무작위 셔플 분할이었다. 여기에 stride 2의 슬라이딩 윈도우가 결합되어, 학습 표본 [i..i+7]과 검증 표본 [i+2..i+9]가 8개 중 6개의 투구를 공유하였다. 검증셋이 학습셋과 사실상 중복된 상태였다.</w:t>
      </w:r>
    </w:p>
    <w:p>
      <w:pPr>
        <w:spacing w:before="200" w:after="120"/>
      </w:pPr>
      <w:r>
        <w:rPr>
          <w:rFonts w:ascii="맑은 고딕" w:hAnsi="맑은 고딕" w:eastAsia="맑은 고딕"/>
          <w:b/>
          <w:color w:val="1C5CAB"/>
          <w:sz w:val="25"/>
        </w:rPr>
        <w:t>3.3 불균형 이중 보정에 의한 확률 왜곡</w:t>
      </w:r>
    </w:p>
    <w:p>
      <w:pPr>
        <w:spacing w:after="120"/>
        <w:ind w:firstLine="227"/>
      </w:pPr>
      <w:r>
        <w:rPr>
          <w:rFonts w:ascii="맑은 고딕" w:hAnsi="맑은 고딕" w:eastAsia="맑은 고딕"/>
          <w:b w:val="0"/>
          <w:i w:val="0"/>
          <w:color w:val="1A1A1A"/>
          <w:sz w:val="21"/>
        </w:rPr>
        <w:t>학습은 역빈도 가중 오버샘플링(WeightedRandomSampler)과 Focal Loss를 동시에 적용하였다. 불균형을 두 번 보정한 셈이며, 그 결과 모델의 출력 확률은 실제 분포가 아니라 균등화된 분포를 가리키게 된다. 응용 단계에서 temperature를 5.0으로 고정하여 분포를 인위적으로 평탄화한 것은 이 왜곡을 가리기 위한 대증요법이었다.</w:t>
      </w:r>
    </w:p>
    <w:p>
      <w:pPr>
        <w:spacing w:before="200" w:after="120"/>
      </w:pPr>
      <w:r>
        <w:rPr>
          <w:rFonts w:ascii="맑은 고딕" w:hAnsi="맑은 고딕" w:eastAsia="맑은 고딕"/>
          <w:b/>
          <w:color w:val="1C5CAB"/>
          <w:sz w:val="25"/>
        </w:rPr>
        <w:t>3.4 결과 정의와 데이터 범위의 문제</w:t>
      </w:r>
    </w:p>
    <w:p>
      <w:pPr>
        <w:pStyle w:val="ListBullet"/>
        <w:spacing w:after="60" w:line="324" w:lineRule="auto"/>
        <w:ind w:left="397"/>
      </w:pPr>
      <w:r>
        <w:rPr>
          <w:rFonts w:ascii="맑은 고딕" w:hAnsi="맑은 고딕" w:eastAsia="맑은 고딕"/>
          <w:b w:val="0"/>
          <w:color w:val="1A1A1A"/>
          <w:sz w:val="21"/>
        </w:rPr>
        <w:t xml:space="preserve">정규시즌 필터가 없어 </w:t>
      </w:r>
      <w:r>
        <w:rPr>
          <w:rFonts w:ascii="맑은 고딕" w:hAnsi="맑은 고딕" w:eastAsia="맑은 고딕"/>
          <w:b/>
          <w:color w:val="1A1A1A"/>
          <w:sz w:val="21"/>
        </w:rPr>
        <w:t>시범경기 35,482구</w:t>
      </w:r>
      <w:r>
        <w:rPr>
          <w:rFonts w:ascii="맑은 고딕" w:hAnsi="맑은 고딕" w:eastAsia="맑은 고딕"/>
          <w:b w:val="0"/>
          <w:color w:val="1A1A1A"/>
          <w:sz w:val="21"/>
        </w:rPr>
        <w:t>가 학습에 포함되어 있었다.</w:t>
      </w:r>
    </w:p>
    <w:p>
      <w:pPr>
        <w:pStyle w:val="ListBullet"/>
        <w:spacing w:after="60" w:line="324" w:lineRule="auto"/>
        <w:ind w:left="397"/>
      </w:pPr>
      <w:r>
        <w:rPr>
          <w:rFonts w:ascii="맑은 고딕" w:hAnsi="맑은 고딕" w:eastAsia="맑은 고딕"/>
          <w:b w:val="0"/>
          <w:color w:val="1A1A1A"/>
          <w:sz w:val="21"/>
        </w:rPr>
        <w:t xml:space="preserve">결과 매핑이 events 화이트리스트에 의존하여 3루타, 희생플라이, 병살, 야수선택 등 </w:t>
      </w:r>
      <w:r>
        <w:rPr>
          <w:rFonts w:ascii="맑은 고딕" w:hAnsi="맑은 고딕" w:eastAsia="맑은 고딕"/>
          <w:b/>
          <w:color w:val="1A1A1A"/>
          <w:sz w:val="21"/>
        </w:rPr>
        <w:t>인플레이 결과 10,224구가 삭제</w:t>
      </w:r>
      <w:r>
        <w:rPr>
          <w:rFonts w:ascii="맑은 고딕" w:hAnsi="맑은 고딕" w:eastAsia="맑은 고딕"/>
          <w:b w:val="0"/>
          <w:color w:val="1A1A1A"/>
          <w:sz w:val="21"/>
        </w:rPr>
        <w:t>되었다. 3루타가 클래스에서 사라진 것도 이 때문이다.</w:t>
      </w:r>
    </w:p>
    <w:p>
      <w:pPr>
        <w:pStyle w:val="ListBullet"/>
        <w:spacing w:after="60" w:line="324" w:lineRule="auto"/>
        <w:ind w:left="397"/>
      </w:pPr>
      <w:r>
        <w:rPr>
          <w:rFonts w:ascii="맑은 고딕" w:hAnsi="맑은 고딕" w:eastAsia="맑은 고딕"/>
          <w:b w:val="0"/>
          <w:color w:val="1A1A1A"/>
          <w:sz w:val="21"/>
        </w:rPr>
        <w:t>수집 범위가 2024년 3~8월에 그쳤음에도 '정규 시즌 전체'로 기술되었다.</w:t>
      </w:r>
    </w:p>
    <w:p>
      <w:pPr>
        <w:pStyle w:val="ListBullet"/>
        <w:spacing w:after="60" w:line="324" w:lineRule="auto"/>
        <w:ind w:left="397"/>
      </w:pPr>
      <w:r>
        <w:rPr>
          <w:rFonts w:ascii="맑은 고딕" w:hAnsi="맑은 고딕" w:eastAsia="맑은 고딕"/>
          <w:b w:val="0"/>
          <w:color w:val="1A1A1A"/>
          <w:sz w:val="21"/>
        </w:rPr>
        <w:t xml:space="preserve">인코더와 MinMaxScaler를 </w:t>
      </w:r>
      <w:r>
        <w:rPr>
          <w:rFonts w:ascii="맑은 고딕" w:hAnsi="맑은 고딕" w:eastAsia="맑은 고딕"/>
          <w:b/>
          <w:color w:val="1A1A1A"/>
          <w:sz w:val="21"/>
        </w:rPr>
        <w:t>전체 데이터에 적합</w:t>
      </w:r>
      <w:r>
        <w:rPr>
          <w:rFonts w:ascii="맑은 고딕" w:hAnsi="맑은 고딕" w:eastAsia="맑은 고딕"/>
          <w:b w:val="0"/>
          <w:color w:val="1A1A1A"/>
          <w:sz w:val="21"/>
        </w:rPr>
        <w:t>한 뒤 분할하여, 검증셋의 분포 정보가 정규화를 통해 학습에 유입되었다.</w:t>
      </w:r>
    </w:p>
    <w:p>
      <w:pPr>
        <w:spacing w:before="200" w:after="120"/>
      </w:pPr>
      <w:r>
        <w:rPr>
          <w:rFonts w:ascii="맑은 고딕" w:hAnsi="맑은 고딕" w:eastAsia="맑은 고딕"/>
          <w:b/>
          <w:color w:val="1C5CAB"/>
          <w:sz w:val="25"/>
        </w:rPr>
        <w:t>3.5 추천 점수의 수학적 무의미성</w:t>
      </w:r>
    </w:p>
    <w:p>
      <w:pPr>
        <w:spacing w:after="120"/>
        <w:ind w:firstLine="227"/>
      </w:pPr>
      <w:r>
        <w:rPr>
          <w:rFonts w:ascii="맑은 고딕" w:hAnsi="맑은 고딕" w:eastAsia="맑은 고딕"/>
          <w:b w:val="0"/>
          <w:i w:val="0"/>
          <w:color w:val="1A1A1A"/>
          <w:sz w:val="21"/>
        </w:rPr>
        <w:t>초기 추천 점수는 다음과 같이 정의되어 있었다.</w:t>
      </w:r>
    </w:p>
    <w:p>
      <w:pPr>
        <w:spacing w:before="80" w:after="160" w:line="276" w:lineRule="auto"/>
        <w:ind w:left="340"/>
      </w:pPr>
      <w:r>
        <w:rPr>
          <w:rFonts w:ascii="Consolas" w:hAnsi="Consolas" w:eastAsia="Consolas"/>
          <w:b w:val="0"/>
          <w:color w:val="333333"/>
          <w:sz w:val="18"/>
        </w:rPr>
        <w:t>score = p_success - (p_fail * 1.5) - penalty</w:t>
      </w:r>
    </w:p>
    <w:p>
      <w:pPr>
        <w:spacing w:after="120"/>
        <w:ind w:firstLine="227"/>
      </w:pPr>
      <w:r>
        <w:rPr>
          <w:rFonts w:ascii="맑은 고딕" w:hAnsi="맑은 고딕" w:eastAsia="맑은 고딕"/>
          <w:b w:val="0"/>
          <w:i w:val="0"/>
          <w:color w:val="1A1A1A"/>
          <w:sz w:val="21"/>
        </w:rPr>
        <w:t xml:space="preserve">그러나 good 집합(5개)과 bad 집합(6개)이 11개 클래스 전체를 정확히 이분하므로 항상 p_fail = 1 − p_success가 성립한다. 따라서 score = 2.5·p_success − 1.5이며, </w:t>
      </w:r>
      <w:r>
        <w:rPr>
          <w:rFonts w:ascii="맑은 고딕" w:hAnsi="맑은 고딕" w:eastAsia="맑은 고딕"/>
          <w:b/>
          <w:i w:val="0"/>
          <w:color w:val="1A1A1A"/>
          <w:sz w:val="21"/>
        </w:rPr>
        <w:t>위험 가중치 1.5는 후보 순위에 어떠한 영향도 주지 못한다.</w:t>
      </w:r>
      <w:r>
        <w:rPr>
          <w:rFonts w:ascii="맑은 고딕" w:hAnsi="맑은 고딕" w:eastAsia="맑은 고딕"/>
          <w:b w:val="0"/>
          <w:i w:val="0"/>
          <w:color w:val="1A1A1A"/>
          <w:sz w:val="21"/>
        </w:rPr>
        <w:t xml:space="preserve"> 또한 2스트라이크에서의 파울과 범타가 동일하게 '성공'으로 분류되어, 실제 가치 차이가 반영되지 않았다.</w:t>
      </w:r>
    </w:p>
    <w:p>
      <w:r>
        <w:br w:type="page"/>
      </w:r>
    </w:p>
    <w:p>
      <w:pPr>
        <w:spacing w:before="320" w:after="120"/>
      </w:pPr>
      <w:r>
        <w:rPr>
          <w:rFonts w:ascii="맑은 고딕" w:hAnsi="맑은 고딕" w:eastAsia="맑은 고딕"/>
          <w:b/>
          <w:color w:val="1A1A1A"/>
          <w:sz w:val="30"/>
        </w:rPr>
        <w:t>4. 제안 방법</w:t>
      </w:r>
    </w:p>
    <w:p>
      <w:pPr>
        <w:spacing w:after="120"/>
        <w:ind w:firstLine="227"/>
      </w:pPr>
      <w:r>
        <w:rPr>
          <w:rFonts w:ascii="맑은 고딕" w:hAnsi="맑은 고딕" w:eastAsia="맑은 고딕"/>
          <w:b w:val="0"/>
          <w:i w:val="0"/>
          <w:color w:val="1A1A1A"/>
          <w:sz w:val="21"/>
        </w:rPr>
        <w:t>3장에서 확인한 결함에 대응하여 데이터 구성, 모델, 평가, 추천 로직을 재설계하였다. 설계 원칙은 세 가지다. 첫째, 학습 시점에 알 수 없는 정보는 어떤 경로로도 입력에 들어오지 않는다. 둘째, 성능 수치는 학습·조기종료·모델선택에 한 번도 쓰이지 않은 구간에서 단 한 번 측정한다. 셋째, 확률로 후보를 순위화하는 시스템이므로 확률의 정직성(캘리브레이션)을 정확도보다 우선한다.</w:t>
      </w:r>
    </w:p>
    <w:p>
      <w:pPr>
        <w:spacing w:before="200" w:after="120"/>
      </w:pPr>
      <w:r>
        <w:rPr>
          <w:rFonts w:ascii="맑은 고딕" w:hAnsi="맑은 고딕" w:eastAsia="맑은 고딕"/>
          <w:b/>
          <w:color w:val="1C5CAB"/>
          <w:sz w:val="25"/>
        </w:rPr>
        <w:t>4.1 데이터 구성</w:t>
      </w:r>
    </w:p>
    <w:p>
      <w:pPr>
        <w:spacing w:after="120"/>
        <w:ind w:firstLine="227"/>
      </w:pPr>
      <w:r>
        <w:rPr>
          <w:rFonts w:ascii="맑은 고딕" w:hAnsi="맑은 고딕" w:eastAsia="맑은 고딕"/>
          <w:b w:val="0"/>
          <w:i w:val="0"/>
          <w:color w:val="1A1A1A"/>
          <w:sz w:val="21"/>
        </w:rPr>
        <w:t>2024·2025 정규시즌 전체를 수집하여 총 1,424,426구를 확보하였다(2024년 711,898구, 2025년 712,528구). game_type이 정규시즌인 경기만 사용하였다. 원본은 game_date → game_pk → at_bat_number → pitch_number 순으로 정렬하여 시간축을 복원하였다.</w:t>
      </w:r>
    </w:p>
    <w:p>
      <w:pPr>
        <w:spacing w:after="120"/>
        <w:ind w:firstLine="227"/>
      </w:pPr>
      <w:r>
        <w:rPr>
          <w:rFonts w:ascii="맑은 고딕" w:hAnsi="맑은 고딕" w:eastAsia="맑은 고딕"/>
          <w:b w:val="0"/>
          <w:i w:val="0"/>
          <w:color w:val="1A1A1A"/>
          <w:sz w:val="21"/>
        </w:rPr>
        <w:t xml:space="preserve">시퀀스는 </w:t>
      </w:r>
      <w:r>
        <w:rPr>
          <w:rFonts w:ascii="맑은 고딕" w:hAnsi="맑은 고딕" w:eastAsia="맑은 고딕"/>
          <w:b/>
          <w:i w:val="0"/>
          <w:color w:val="1A1A1A"/>
          <w:sz w:val="21"/>
        </w:rPr>
        <w:t>타석(plate appearance) 내부로 제한</w:t>
      </w:r>
      <w:r>
        <w:rPr>
          <w:rFonts w:ascii="맑은 고딕" w:hAnsi="맑은 고딕" w:eastAsia="맑은 고딕"/>
          <w:b w:val="0"/>
          <w:i w:val="0"/>
          <w:color w:val="1A1A1A"/>
          <w:sz w:val="21"/>
        </w:rPr>
        <w:t>한다. 각 투구를 타깃으로 삼고, 같은 타석에서 그보다 앞서 던져진 공들을 최대 6구까지 앞에 붙인다. 부족한 앞부분은 0으로 채우고 마스크로 표시하여 어텐션에서 제외한다. 타석 경계를 넘지 않으므로 다른 타자나 투수의 투구가 한 시퀀스에 섞이지 않는다. 실제 데이터에서 타석당 평균 투구 수는 3.82구이고 91.7%의 타석이 6구 이하이므로, 길이 6은 대부분의 타석을 온전히 포괄한다.</w:t>
      </w:r>
    </w:p>
    <w:p>
      <w:pPr>
        <w:spacing w:after="120"/>
        <w:ind w:firstLine="227"/>
      </w:pPr>
      <w:r>
        <w:rPr>
          <w:rFonts w:ascii="맑은 고딕" w:hAnsi="맑은 고딕" w:eastAsia="맑은 고딕"/>
          <w:b w:val="0"/>
          <w:i w:val="0"/>
          <w:color w:val="1A1A1A"/>
          <w:sz w:val="21"/>
        </w:rPr>
        <w:t>좌표계는 Takamido와 Nakamoto(2026)를 따라 정규화하였다. 좌타자의 좌우 위치와 수평 무브먼트는 부호를 반전시켜 좌우 타자를 동일한 의미 축에서 비교할 수 있게 하고, 높이는 타자별 스트라이크존 상·하단으로 정규화하여 신장 차이를 흡수한다. 회전축은 각도이므로 사인·코사인으로 분해하여 0도와 359도가 인접하도록 하였다.</w:t>
      </w:r>
    </w:p>
    <w:tbl>
      <w:tblPr>
        <w:tblStyle w:val="TableGrid"/>
        <w:tblW w:type="auto" w:w="0"/>
        <w:jc w:val="center"/>
        <w:tblLook w:firstColumn="1" w:firstRow="1" w:lastColumn="0" w:lastRow="0" w:noHBand="0" w:noVBand="1" w:val="04A0"/>
      </w:tblPr>
      <w:tblGrid>
        <w:gridCol w:w="3097"/>
        <w:gridCol w:w="3097"/>
        <w:gridCol w:w="3097"/>
      </w:tblGrid>
      <w:tr>
        <w:tc>
          <w:tcPr>
            <w:tcW w:type="dxa" w:w="2041"/>
          </w:tcPr>
          <w:p>
            <w:pPr>
              <w:spacing w:line="240" w:lineRule="auto" w:after="40"/>
              <w:jc w:val="center"/>
            </w:pPr>
            <w:r/>
            <w:r>
              <w:rPr>
                <w:rFonts w:ascii="맑은 고딕" w:hAnsi="맑은 고딕" w:eastAsia="맑은 고딕"/>
                <w:b/>
                <w:color w:val="1A1A1A"/>
                <w:sz w:val="19"/>
              </w:rPr>
              <w:t>구분</w:t>
            </w:r>
          </w:p>
        </w:tc>
        <w:tc>
          <w:tcPr>
            <w:tcW w:type="dxa" w:w="5329"/>
          </w:tcPr>
          <w:p>
            <w:pPr>
              <w:spacing w:line="240" w:lineRule="auto" w:after="40"/>
              <w:jc w:val="center"/>
            </w:pPr>
            <w:r/>
            <w:r>
              <w:rPr>
                <w:rFonts w:ascii="맑은 고딕" w:hAnsi="맑은 고딕" w:eastAsia="맑은 고딕"/>
                <w:b/>
                <w:color w:val="1A1A1A"/>
                <w:sz w:val="19"/>
              </w:rPr>
              <w:t>변수</w:t>
            </w:r>
          </w:p>
        </w:tc>
        <w:tc>
          <w:tcPr>
            <w:tcW w:type="dxa" w:w="907"/>
          </w:tcPr>
          <w:p>
            <w:pPr>
              <w:spacing w:line="240" w:lineRule="auto" w:after="40"/>
              <w:jc w:val="center"/>
            </w:pPr>
            <w:r/>
            <w:r>
              <w:rPr>
                <w:rFonts w:ascii="맑은 고딕" w:hAnsi="맑은 고딕" w:eastAsia="맑은 고딕"/>
                <w:b/>
                <w:color w:val="1A1A1A"/>
                <w:sz w:val="19"/>
              </w:rPr>
              <w:t>개수</w:t>
            </w:r>
          </w:p>
        </w:tc>
      </w:tr>
      <w:tr>
        <w:tc>
          <w:tcPr>
            <w:tcW w:type="dxa" w:w="2041"/>
          </w:tcPr>
          <w:p>
            <w:pPr>
              <w:spacing w:line="240" w:lineRule="auto" w:after="40"/>
              <w:jc w:val="left"/>
            </w:pPr>
            <w:r>
              <w:rPr>
                <w:rFonts w:ascii="맑은 고딕" w:hAnsi="맑은 고딕" w:eastAsia="맑은 고딕"/>
                <w:b w:val="0"/>
                <w:color w:val="1A1A1A"/>
                <w:sz w:val="19"/>
              </w:rPr>
              <w:t>시퀀스 (투구 물리량)</w:t>
            </w:r>
          </w:p>
        </w:tc>
        <w:tc>
          <w:tcPr>
            <w:tcW w:type="dxa" w:w="5329"/>
          </w:tcPr>
          <w:p>
            <w:pPr>
              <w:spacing w:line="240" w:lineRule="auto" w:after="40"/>
              <w:jc w:val="center"/>
            </w:pPr>
            <w:r>
              <w:rPr>
                <w:rFonts w:ascii="맑은 고딕" w:hAnsi="맑은 고딕" w:eastAsia="맑은 고딕"/>
                <w:b w:val="0"/>
                <w:color w:val="1A1A1A"/>
                <w:sz w:val="19"/>
              </w:rPr>
              <w:t>좌우 위치, 정규화 높이, 구속, 회전수, 회전축(sin·cos), 수평·수직 무브먼트</w:t>
            </w:r>
          </w:p>
        </w:tc>
        <w:tc>
          <w:tcPr>
            <w:tcW w:type="dxa" w:w="907"/>
          </w:tcPr>
          <w:p>
            <w:pPr>
              <w:spacing w:line="240" w:lineRule="auto" w:after="40"/>
              <w:jc w:val="center"/>
            </w:pPr>
            <w:r>
              <w:rPr>
                <w:rFonts w:ascii="맑은 고딕" w:hAnsi="맑은 고딕" w:eastAsia="맑은 고딕"/>
                <w:b w:val="0"/>
                <w:color w:val="1A1A1A"/>
                <w:sz w:val="19"/>
              </w:rPr>
              <w:t>8</w:t>
            </w:r>
          </w:p>
        </w:tc>
      </w:tr>
      <w:tr>
        <w:tc>
          <w:tcPr>
            <w:tcW w:type="dxa" w:w="2041"/>
          </w:tcPr>
          <w:p>
            <w:pPr>
              <w:spacing w:line="240" w:lineRule="auto" w:after="40"/>
              <w:jc w:val="left"/>
            </w:pPr>
            <w:r>
              <w:rPr>
                <w:rFonts w:ascii="맑은 고딕" w:hAnsi="맑은 고딕" w:eastAsia="맑은 고딕"/>
                <w:b w:val="0"/>
                <w:color w:val="1A1A1A"/>
                <w:sz w:val="19"/>
              </w:rPr>
              <w:t>시퀀스 (범주형)</w:t>
            </w:r>
          </w:p>
        </w:tc>
        <w:tc>
          <w:tcPr>
            <w:tcW w:type="dxa" w:w="5329"/>
          </w:tcPr>
          <w:p>
            <w:pPr>
              <w:spacing w:line="240" w:lineRule="auto" w:after="40"/>
              <w:jc w:val="center"/>
            </w:pPr>
            <w:r>
              <w:rPr>
                <w:rFonts w:ascii="맑은 고딕" w:hAnsi="맑은 고딕" w:eastAsia="맑은 고딕"/>
                <w:b w:val="0"/>
                <w:color w:val="1A1A1A"/>
                <w:sz w:val="19"/>
              </w:rPr>
              <w:t>타자, 투수, 구종, 타석 좌우, 투구 좌우</w:t>
            </w:r>
          </w:p>
        </w:tc>
        <w:tc>
          <w:tcPr>
            <w:tcW w:type="dxa" w:w="907"/>
          </w:tcPr>
          <w:p>
            <w:pPr>
              <w:spacing w:line="240" w:lineRule="auto" w:after="40"/>
              <w:jc w:val="center"/>
            </w:pPr>
            <w:r>
              <w:rPr>
                <w:rFonts w:ascii="맑은 고딕" w:hAnsi="맑은 고딕" w:eastAsia="맑은 고딕"/>
                <w:b w:val="0"/>
                <w:color w:val="1A1A1A"/>
                <w:sz w:val="19"/>
              </w:rPr>
              <w:t>5</w:t>
            </w:r>
          </w:p>
        </w:tc>
      </w:tr>
      <w:tr>
        <w:tc>
          <w:tcPr>
            <w:tcW w:type="dxa" w:w="2041"/>
          </w:tcPr>
          <w:p>
            <w:pPr>
              <w:spacing w:line="240" w:lineRule="auto" w:after="40"/>
              <w:jc w:val="left"/>
            </w:pPr>
            <w:r>
              <w:rPr>
                <w:rFonts w:ascii="맑은 고딕" w:hAnsi="맑은 고딕" w:eastAsia="맑은 고딕"/>
                <w:b w:val="0"/>
                <w:color w:val="1A1A1A"/>
                <w:sz w:val="19"/>
              </w:rPr>
              <w:t>맥락</w:t>
            </w:r>
          </w:p>
        </w:tc>
        <w:tc>
          <w:tcPr>
            <w:tcW w:type="dxa" w:w="5329"/>
          </w:tcPr>
          <w:p>
            <w:pPr>
              <w:spacing w:line="240" w:lineRule="auto" w:after="40"/>
              <w:jc w:val="center"/>
            </w:pPr>
            <w:r>
              <w:rPr>
                <w:rFonts w:ascii="맑은 고딕" w:hAnsi="맑은 고딕" w:eastAsia="맑은 고딕"/>
                <w:b w:val="0"/>
                <w:color w:val="1A1A1A"/>
                <w:sz w:val="19"/>
              </w:rPr>
              <w:t>볼, 스트라이크, 아웃, 주자 1·2·3루, 이닝, 초말, 점수차, 타순 회차</w:t>
            </w:r>
          </w:p>
        </w:tc>
        <w:tc>
          <w:tcPr>
            <w:tcW w:type="dxa" w:w="907"/>
          </w:tcPr>
          <w:p>
            <w:pPr>
              <w:spacing w:line="240" w:lineRule="auto" w:after="40"/>
              <w:jc w:val="center"/>
            </w:pPr>
            <w:r>
              <w:rPr>
                <w:rFonts w:ascii="맑은 고딕" w:hAnsi="맑은 고딕" w:eastAsia="맑은 고딕"/>
                <w:b w:val="0"/>
                <w:color w:val="1A1A1A"/>
                <w:sz w:val="19"/>
              </w:rPr>
              <w:t>10</w:t>
            </w:r>
          </w:p>
        </w:tc>
      </w:tr>
      <w:tr>
        <w:tc>
          <w:tcPr>
            <w:tcW w:type="dxa" w:w="2041"/>
          </w:tcPr>
          <w:p>
            <w:pPr>
              <w:spacing w:line="240" w:lineRule="auto" w:after="40"/>
              <w:jc w:val="left"/>
            </w:pPr>
            <w:r>
              <w:rPr>
                <w:rFonts w:ascii="맑은 고딕" w:hAnsi="맑은 고딕" w:eastAsia="맑은 고딕"/>
                <w:b w:val="0"/>
                <w:color w:val="1A1A1A"/>
                <w:sz w:val="19"/>
              </w:rPr>
              <w:t>맥락 (타자 특성)</w:t>
            </w:r>
          </w:p>
        </w:tc>
        <w:tc>
          <w:tcPr>
            <w:tcW w:type="dxa" w:w="5329"/>
          </w:tcPr>
          <w:p>
            <w:pPr>
              <w:spacing w:line="240" w:lineRule="auto" w:after="40"/>
              <w:jc w:val="center"/>
            </w:pPr>
            <w:r>
              <w:rPr>
                <w:rFonts w:ascii="맑은 고딕" w:hAnsi="맑은 고딕" w:eastAsia="맑은 고딕"/>
                <w:b w:val="0"/>
                <w:color w:val="1A1A1A"/>
                <w:sz w:val="19"/>
              </w:rPr>
              <w:t>직전 시즌 삼진율, 홈런율, ISO, 타율, OPS</w:t>
            </w:r>
          </w:p>
        </w:tc>
        <w:tc>
          <w:tcPr>
            <w:tcW w:type="dxa" w:w="907"/>
          </w:tcPr>
          <w:p>
            <w:pPr>
              <w:spacing w:line="240" w:lineRule="auto" w:after="40"/>
              <w:jc w:val="center"/>
            </w:pPr>
            <w:r>
              <w:rPr>
                <w:rFonts w:ascii="맑은 고딕" w:hAnsi="맑은 고딕" w:eastAsia="맑은 고딕"/>
                <w:b w:val="0"/>
                <w:color w:val="1A1A1A"/>
                <w:sz w:val="19"/>
              </w:rPr>
              <w:t>5</w:t>
            </w:r>
          </w:p>
        </w:tc>
      </w:tr>
    </w:tbl>
    <w:p>
      <w:pPr>
        <w:spacing w:before="60" w:after="240" w:line="276" w:lineRule="auto"/>
        <w:jc w:val="center"/>
      </w:pPr>
      <w:r>
        <w:rPr>
          <w:rFonts w:ascii="맑은 고딕" w:hAnsi="맑은 고딕" w:eastAsia="맑은 고딕"/>
          <w:b w:val="0"/>
          <w:color w:val="666666"/>
          <w:sz w:val="18"/>
        </w:rPr>
        <w:t>표 1. 입력 변수 구성. 맥락의 타자 특성은 **직전 시즌** 성적만 사용하여 같은 시즌 정보가 유입되지 않도록 하였다.</w:t>
      </w:r>
    </w:p>
    <w:p>
      <w:pPr>
        <w:spacing w:after="120"/>
        <w:ind w:firstLine="227"/>
      </w:pPr>
      <w:r>
        <w:rPr>
          <w:rFonts w:ascii="맑은 고딕" w:hAnsi="맑은 고딕" w:eastAsia="맑은 고딕"/>
          <w:b/>
          <w:i w:val="0"/>
          <w:color w:val="1A1A1A"/>
          <w:sz w:val="21"/>
        </w:rPr>
        <w:t>볼카운트를 시퀀스 경로에서 제외한 것은 의도적인 설계</w:t>
      </w:r>
      <w:r>
        <w:rPr>
          <w:rFonts w:ascii="맑은 고딕" w:hAnsi="맑은 고딕" w:eastAsia="맑은 고딕"/>
          <w:b w:val="0"/>
          <w:i w:val="0"/>
          <w:color w:val="1A1A1A"/>
          <w:sz w:val="21"/>
        </w:rPr>
        <w:t>다. 3.1에서 확인한 누수는 카운트가 모든 타임스텝에 존재했기 때문에 발생하였다. 카운트를 맥락 경로에만 두면 타깃 시점의 상황은 그대로 활용하면서, 인접 투구의 카운트를 비교해 정답을 추론하는 경로 자체가 구조적으로 차단된다.</w:t>
      </w:r>
    </w:p>
    <w:p>
      <w:pPr>
        <w:spacing w:before="200" w:after="120"/>
      </w:pPr>
      <w:r>
        <w:rPr>
          <w:rFonts w:ascii="맑은 고딕" w:hAnsi="맑은 고딕" w:eastAsia="맑은 고딕"/>
          <w:b/>
          <w:color w:val="1C5CAB"/>
          <w:sz w:val="25"/>
        </w:rPr>
        <w:t>4.2 출력 클래스의 재정의</w:t>
      </w:r>
    </w:p>
    <w:p>
      <w:pPr>
        <w:spacing w:after="120"/>
        <w:ind w:firstLine="227"/>
      </w:pPr>
      <w:r>
        <w:rPr>
          <w:rFonts w:ascii="맑은 고딕" w:hAnsi="맑은 고딕" w:eastAsia="맑은 고딕"/>
          <w:b w:val="0"/>
          <w:i w:val="0"/>
          <w:color w:val="1A1A1A"/>
          <w:sz w:val="21"/>
        </w:rPr>
        <w:t xml:space="preserve">초기 정의는 strike와 strikeout을 동시에 클래스로 두었다. 그러나 삼진은 2스트라이크에서의 스트라이크이고 볼넷은 3볼에서의 볼이므로, 이들은 투구의 결과가 아니라 </w:t>
      </w:r>
      <w:r>
        <w:rPr>
          <w:rFonts w:ascii="맑은 고딕" w:hAnsi="맑은 고딕" w:eastAsia="맑은 고딕"/>
          <w:b/>
          <w:i w:val="0"/>
          <w:color w:val="1A1A1A"/>
          <w:sz w:val="21"/>
        </w:rPr>
        <w:t>카운트에서 파생되는 타석 결과</w:t>
      </w:r>
      <w:r>
        <w:rPr>
          <w:rFonts w:ascii="맑은 고딕" w:hAnsi="맑은 고딕" w:eastAsia="맑은 고딕"/>
          <w:b w:val="0"/>
          <w:i w:val="0"/>
          <w:color w:val="1A1A1A"/>
          <w:sz w:val="21"/>
        </w:rPr>
        <w:t>다. 카운트가 입력에 포함된 상태에서 이를 별도 클래스로 두면 모델이 사실상 공짜로 맞히는 라벨이 생긴다. 본 개정에서는 투구 단위로 실제 관측되는 사건만을 클래스로 정의하였다.</w:t>
      </w:r>
    </w:p>
    <w:p>
      <w:pPr>
        <w:spacing w:before="80" w:after="160" w:line="276" w:lineRule="auto"/>
        <w:ind w:left="340"/>
      </w:pPr>
      <w:r>
        <w:rPr>
          <w:rFonts w:ascii="Consolas" w:hAnsi="Consolas" w:eastAsia="Consolas"/>
          <w:b w:val="0"/>
          <w:color w:val="333333"/>
          <w:sz w:val="18"/>
        </w:rPr>
        <w:t>ball · called_strike · swinging_strike · foul · hit_by_pitch</w:t>
        <w:br/>
        <w:t>field_out · single · double · triple · home_run</w:t>
      </w:r>
    </w:p>
    <w:p>
      <w:pPr>
        <w:spacing w:after="120"/>
        <w:ind w:firstLine="227"/>
      </w:pPr>
      <w:r>
        <w:rPr>
          <w:rFonts w:ascii="맑은 고딕" w:hAnsi="맑은 고딕" w:eastAsia="맑은 고딕"/>
          <w:b w:val="0"/>
          <w:i w:val="0"/>
          <w:color w:val="1A1A1A"/>
          <w:sz w:val="21"/>
        </w:rPr>
        <w:t>삼진과 볼넷은 예측된 클래스와 현재 카운트로부터 결정적으로 유도된다. 또한 인플레이 결과 매핑을 재정의하여 병살, 희생플라이, 야수선택, 실책 출루 등을 포함시켰다. 그 결과 매핑되지 않아 삭제되는 투구가 10,224구에서 6구로 감소하였다.</w:t>
      </w:r>
    </w:p>
    <w:p>
      <w:pPr>
        <w:spacing w:before="200" w:after="120"/>
      </w:pPr>
      <w:r>
        <w:rPr>
          <w:rFonts w:ascii="맑은 고딕" w:hAnsi="맑은 고딕" w:eastAsia="맑은 고딕"/>
          <w:b/>
          <w:color w:val="1C5CAB"/>
          <w:sz w:val="25"/>
        </w:rPr>
        <w:t>4.3 모델 구조</w:t>
      </w:r>
    </w:p>
    <w:p>
      <w:pPr>
        <w:spacing w:after="120"/>
        <w:ind w:firstLine="227"/>
      </w:pPr>
      <w:r>
        <w:rPr>
          <w:rFonts w:ascii="맑은 고딕" w:hAnsi="맑은 고딕" w:eastAsia="맑은 고딕"/>
          <w:b w:val="0"/>
          <w:i w:val="0"/>
          <w:color w:val="1A1A1A"/>
          <w:sz w:val="21"/>
        </w:rPr>
        <w:t>제안 모델은 시퀀스와 맥락을 별도 경로로 처리한 뒤 출력 직전에 결합하는 이원 구조를 갖는다. 이는 초기 버전이 제안한 구조를 계승한 것이며, Takamido와 Nakamoto(2026)가 독립적으로 채택한 구조와도 일치한다.</w:t>
      </w:r>
    </w:p>
    <w:p>
      <w:pPr>
        <w:jc w:val="center"/>
      </w:pPr>
      <w:r>
        <w:drawing>
          <wp:inline xmlns:a="http://schemas.openxmlformats.org/drawingml/2006/main" xmlns:pic="http://schemas.openxmlformats.org/drawingml/2006/picture">
            <wp:extent cx="4860000" cy="3674634"/>
            <wp:docPr id="2" name="Picture 2"/>
            <wp:cNvGraphicFramePr>
              <a:graphicFrameLocks noChangeAspect="1"/>
            </wp:cNvGraphicFramePr>
            <a:graphic>
              <a:graphicData uri="http://schemas.openxmlformats.org/drawingml/2006/picture">
                <pic:pic>
                  <pic:nvPicPr>
                    <pic:cNvPr id="0" name="fig2_architecture.png"/>
                    <pic:cNvPicPr/>
                  </pic:nvPicPr>
                  <pic:blipFill>
                    <a:blip r:embed="rId10"/>
                    <a:stretch>
                      <a:fillRect/>
                    </a:stretch>
                  </pic:blipFill>
                  <pic:spPr>
                    <a:xfrm>
                      <a:off x="0" y="0"/>
                      <a:ext cx="4860000" cy="3674634"/>
                    </a:xfrm>
                    <a:prstGeom prst="rect"/>
                  </pic:spPr>
                </pic:pic>
              </a:graphicData>
            </a:graphic>
          </wp:inline>
        </w:drawing>
      </w:r>
    </w:p>
    <w:p>
      <w:pPr>
        <w:spacing w:before="60" w:after="240" w:line="276" w:lineRule="auto"/>
        <w:jc w:val="center"/>
      </w:pPr>
      <w:r>
        <w:rPr>
          <w:rFonts w:ascii="맑은 고딕" w:hAnsi="맑은 고딕" w:eastAsia="맑은 고딕"/>
          <w:b w:val="0"/>
          <w:color w:val="666666"/>
          <w:sz w:val="18"/>
        </w:rPr>
        <w:t>그림 2. 제안 모델 구조.</w:t>
      </w:r>
    </w:p>
    <w:p>
      <w:pPr>
        <w:spacing w:after="120"/>
        <w:ind w:firstLine="227"/>
      </w:pPr>
      <w:r>
        <w:rPr>
          <w:rFonts w:ascii="맑은 고딕" w:hAnsi="맑은 고딕" w:eastAsia="맑은 고딕"/>
          <w:b w:val="0"/>
          <w:i w:val="0"/>
          <w:color w:val="1A1A1A"/>
          <w:sz w:val="21"/>
        </w:rPr>
        <w:t>각 구성요소의 역할과 설계 근거는 다음과 같다.</w:t>
      </w:r>
    </w:p>
    <w:p>
      <w:pPr>
        <w:spacing w:after="120"/>
      </w:pPr>
      <w:r>
        <w:rPr>
          <w:rFonts w:ascii="맑은 고딕" w:hAnsi="맑은 고딕" w:eastAsia="맑은 고딕"/>
          <w:b/>
          <w:i w:val="0"/>
          <w:color w:val="1A1A1A"/>
          <w:sz w:val="21"/>
        </w:rPr>
        <w:t>(1) 엔티티 임베딩</w:t>
      </w:r>
    </w:p>
    <w:p>
      <w:pPr>
        <w:spacing w:after="120"/>
        <w:ind w:firstLine="227"/>
      </w:pPr>
      <w:r>
        <w:rPr>
          <w:rFonts w:ascii="맑은 고딕" w:hAnsi="맑은 고딕" w:eastAsia="맑은 고딕"/>
          <w:b w:val="0"/>
          <w:i w:val="0"/>
          <w:color w:val="1A1A1A"/>
          <w:sz w:val="21"/>
        </w:rPr>
        <w:t xml:space="preserve">타자·투수·구종 등 고차원 범주형 변수를 학습 가능한 밀집 벡터로 사상한다. 원-핫 인코딩과 달리 선수 간 유사성이 벡터 공간에 표현될 수 있다. 학습 데이터에 등장한 타자 624명, 투수 802명이 사전에 포함된다. </w:t>
      </w:r>
      <w:r>
        <w:rPr>
          <w:rFonts w:ascii="맑은 고딕" w:hAnsi="맑은 고딕" w:eastAsia="맑은 고딕"/>
          <w:b/>
          <w:i w:val="0"/>
          <w:color w:val="1A1A1A"/>
          <w:sz w:val="21"/>
        </w:rPr>
        <w:t>인덱스 0은 UNK(미등록 선수)로 예약</w:t>
      </w:r>
      <w:r>
        <w:rPr>
          <w:rFonts w:ascii="맑은 고딕" w:hAnsi="맑은 고딕" w:eastAsia="맑은 고딕"/>
          <w:b w:val="0"/>
          <w:i w:val="0"/>
          <w:color w:val="1A1A1A"/>
          <w:sz w:val="21"/>
        </w:rPr>
        <w:t>하고, 학습 중 일정 확률로 선수 ID를 UNK로 치환하여 해당 임베딩이 실제로 훈련되도록 하였다. 초기 구현은 예외 처리로 미등록 선수를 0번 선수로 조용히 대체하여, 처음 보는 선수에 대해 특정 선수의 예측을 반환하는 오류가 있었다.</w:t>
      </w:r>
    </w:p>
    <w:p>
      <w:pPr>
        <w:spacing w:after="120"/>
      </w:pPr>
      <w:r>
        <w:rPr>
          <w:rFonts w:ascii="맑은 고딕" w:hAnsi="맑은 고딕" w:eastAsia="맑은 고딕"/>
          <w:b/>
          <w:i w:val="0"/>
          <w:color w:val="1A1A1A"/>
          <w:sz w:val="21"/>
        </w:rPr>
        <w:t>(2) Transformer 인코더</w:t>
      </w:r>
    </w:p>
    <w:p>
      <w:pPr>
        <w:spacing w:after="120"/>
        <w:ind w:firstLine="227"/>
      </w:pPr>
      <w:r>
        <w:rPr>
          <w:rFonts w:ascii="맑은 고딕" w:hAnsi="맑은 고딕" w:eastAsia="맑은 고딕"/>
          <w:b w:val="0"/>
          <w:i w:val="0"/>
          <w:color w:val="1A1A1A"/>
          <w:sz w:val="21"/>
        </w:rPr>
        <w:t>d_model 128, 헤드 4개, 레이어 2층, 피드포워드 차원 512로 구성하였다. 셀프 어텐션이 타석 내 투구 간 관계를 학습한다. 세 가지를 수정하였다.</w:t>
      </w:r>
    </w:p>
    <w:p>
      <w:pPr>
        <w:pStyle w:val="ListBullet"/>
        <w:spacing w:after="60" w:line="324" w:lineRule="auto"/>
        <w:ind w:left="397"/>
      </w:pPr>
      <w:r>
        <w:rPr>
          <w:rFonts w:ascii="맑은 고딕" w:hAnsi="맑은 고딕" w:eastAsia="맑은 고딕"/>
          <w:b/>
          <w:color w:val="1A1A1A"/>
          <w:sz w:val="21"/>
        </w:rPr>
        <w:t>최종 LayerNorm 추가.</w:t>
      </w:r>
      <w:r>
        <w:rPr>
          <w:rFonts w:ascii="맑은 고딕" w:hAnsi="맑은 고딕" w:eastAsia="맑은 고딕"/>
          <w:b w:val="0"/>
          <w:color w:val="1A1A1A"/>
          <w:sz w:val="21"/>
        </w:rPr>
        <w:t xml:space="preserve"> norm_first=True(Pre-LN) 설정에서는 마지막 블록의 출력이 정규화되지 않은 채로 헤드에 전달된다. 초기 구현에는 최종 정규화가 없어 잔차 스트림의 크기가 제어되지 않았다.</w:t>
      </w:r>
    </w:p>
    <w:p>
      <w:pPr>
        <w:pStyle w:val="ListBullet"/>
        <w:spacing w:after="60" w:line="324" w:lineRule="auto"/>
        <w:ind w:left="397"/>
      </w:pPr>
      <w:r>
        <w:rPr>
          <w:rFonts w:ascii="맑은 고딕" w:hAnsi="맑은 고딕" w:eastAsia="맑은 고딕"/>
          <w:b/>
          <w:color w:val="1A1A1A"/>
          <w:sz w:val="21"/>
        </w:rPr>
        <w:t>패딩 마스크 적용.</w:t>
      </w:r>
      <w:r>
        <w:rPr>
          <w:rFonts w:ascii="맑은 고딕" w:hAnsi="맑은 고딕" w:eastAsia="맑은 고딕"/>
          <w:b w:val="0"/>
          <w:color w:val="1A1A1A"/>
          <w:sz w:val="21"/>
        </w:rPr>
        <w:t xml:space="preserve"> 타석 앞부분의 패딩 위치에도 어텐션이 걸리고 있었다. src_key_padding_mask로 존재하지 않는 투구를 제외하였다.</w:t>
      </w:r>
    </w:p>
    <w:p>
      <w:pPr>
        <w:pStyle w:val="ListBullet"/>
        <w:spacing w:after="60" w:line="324" w:lineRule="auto"/>
        <w:ind w:left="397"/>
      </w:pPr>
      <w:r>
        <w:rPr>
          <w:rFonts w:ascii="맑은 고딕" w:hAnsi="맑은 고딕" w:eastAsia="맑은 고딕"/>
          <w:b/>
          <w:color w:val="1A1A1A"/>
          <w:sz w:val="21"/>
        </w:rPr>
        <w:t>마스크드 평균 풀링.</w:t>
      </w:r>
      <w:r>
        <w:rPr>
          <w:rFonts w:ascii="맑은 고딕" w:hAnsi="맑은 고딕" w:eastAsia="맑은 고딕"/>
          <w:b w:val="0"/>
          <w:color w:val="1A1A1A"/>
          <w:sz w:val="21"/>
        </w:rPr>
        <w:t xml:space="preserve"> 마지막 토큰만 사용하던 것을 유효 구간 평균으로 변경하였다. 짧은 타석에서 특히 안정적이다.</w:t>
      </w:r>
    </w:p>
    <w:p>
      <w:pPr>
        <w:spacing w:after="120"/>
      </w:pPr>
      <w:r>
        <w:rPr>
          <w:rFonts w:ascii="맑은 고딕" w:hAnsi="맑은 고딕" w:eastAsia="맑은 고딕"/>
          <w:b/>
          <w:i w:val="0"/>
          <w:color w:val="1A1A1A"/>
          <w:sz w:val="21"/>
        </w:rPr>
        <w:t>(3) 맥락 경로와 스킵 연결</w:t>
      </w:r>
    </w:p>
    <w:p>
      <w:pPr>
        <w:spacing w:after="120"/>
        <w:ind w:firstLine="227"/>
      </w:pPr>
      <w:r>
        <w:rPr>
          <w:rFonts w:ascii="맑은 고딕" w:hAnsi="맑은 고딕" w:eastAsia="맑은 고딕"/>
          <w:b w:val="0"/>
          <w:i w:val="0"/>
          <w:color w:val="1A1A1A"/>
          <w:sz w:val="21"/>
        </w:rPr>
        <w:t xml:space="preserve">맥락 정보는 Transformer를 거치지 않고 별도의 완전연결층을 통과한 뒤 출력 직전에 결합된다. 이것이 초기 연구가 제안한 핵심 구조다. 다만 초기 구현에는 심각한 문제가 있었다. 원시 정수 6개를 Linear(6, 32)와 ReLU에 통과시켰는데, </w:t>
      </w:r>
      <w:r>
        <w:rPr>
          <w:rFonts w:ascii="맑은 고딕" w:hAnsi="맑은 고딕" w:eastAsia="맑은 고딕"/>
          <w:b/>
          <w:i w:val="0"/>
          <w:color w:val="1A1A1A"/>
          <w:sz w:val="21"/>
        </w:rPr>
        <w:t>0-0 카운트·무사·주자 없음이면 입력 벡터가 전부 0이 되어 ReLU(bias)라는 상수만 남는다.</w:t>
      </w:r>
      <w:r>
        <w:rPr>
          <w:rFonts w:ascii="맑은 고딕" w:hAnsi="맑은 고딕" w:eastAsia="맑은 고딕"/>
          <w:b w:val="0"/>
          <w:i w:val="0"/>
          <w:color w:val="1A1A1A"/>
          <w:sz w:val="21"/>
        </w:rPr>
        <w:t xml:space="preserve"> 즉 가장 흔한 상황에서 스킵 연결이 전달하는 정보량이 0이었다. 본 개정에서는 맥락 피처를 표준화하여 0이 특별한 값이 되지 않게 하고, 이닝·점수차·타순 회차·타자 직전시즌 성적을 추가하여 표현력을 높였다.</w:t>
      </w:r>
    </w:p>
    <w:p>
      <w:pPr>
        <w:spacing w:after="120"/>
      </w:pPr>
      <w:r>
        <w:rPr>
          <w:rFonts w:ascii="맑은 고딕" w:hAnsi="맑은 고딕" w:eastAsia="맑은 고딕"/>
          <w:b/>
          <w:i w:val="0"/>
          <w:color w:val="1A1A1A"/>
          <w:sz w:val="21"/>
        </w:rPr>
        <w:t>(4) 출력 헤드와 보조 회귀</w:t>
      </w:r>
    </w:p>
    <w:p>
      <w:pPr>
        <w:spacing w:after="120"/>
        <w:ind w:firstLine="227"/>
      </w:pPr>
      <w:r>
        <w:rPr>
          <w:rFonts w:ascii="맑은 고딕" w:hAnsi="맑은 고딕" w:eastAsia="맑은 고딕"/>
          <w:b w:val="0"/>
          <w:i w:val="0"/>
          <w:color w:val="1A1A1A"/>
          <w:sz w:val="21"/>
        </w:rPr>
        <w:t>결합된 벡터는 다층 퍼셉트론을 거쳐 10개 클래스의 로짓을 산출한다. 정규화는 BatchNorm 대신 LayerNorm을 사용하였다. BatchNorm은 배치 구성에 민감하여 추론 시 배치 크기가 달라지는 응용 환경에 적합하지 않기 때문이다. 추가로 해당 투구의 기대 득점 변화량을 직접 예측하는 보조 회귀 헤드를 두어, 분류 손실과 함께 학습하였다.</w:t>
      </w:r>
    </w:p>
    <w:p>
      <w:pPr>
        <w:spacing w:after="120"/>
        <w:ind w:firstLine="227"/>
      </w:pPr>
      <w:r>
        <w:rPr>
          <w:rFonts w:ascii="맑은 고딕" w:hAnsi="맑은 고딕" w:eastAsia="맑은 고딕"/>
          <w:b w:val="0"/>
          <w:i w:val="0"/>
          <w:color w:val="1A1A1A"/>
          <w:sz w:val="21"/>
        </w:rPr>
        <w:t>최종 모델의 파라미터 수는 486,199개(약 2.0MB)이다. 초기 모델(5,408,636개, 약 21MB)의 약 1/11 규모다. 초기 보고서는 '경량화 달성'을 측정 없이 주장하였으나, 본 개정에서는 실측값으로 제시한다.</w:t>
      </w:r>
    </w:p>
    <w:p>
      <w:pPr>
        <w:spacing w:before="200" w:after="120"/>
      </w:pPr>
      <w:r>
        <w:rPr>
          <w:rFonts w:ascii="맑은 고딕" w:hAnsi="맑은 고딕" w:eastAsia="맑은 고딕"/>
          <w:b/>
          <w:color w:val="1C5CAB"/>
          <w:sz w:val="25"/>
        </w:rPr>
        <w:t>4.4 학습 설정</w:t>
      </w:r>
    </w:p>
    <w:p>
      <w:pPr>
        <w:spacing w:after="120"/>
        <w:ind w:firstLine="227"/>
      </w:pPr>
      <w:r>
        <w:rPr>
          <w:rFonts w:ascii="맑은 고딕" w:hAnsi="맑은 고딕" w:eastAsia="맑은 고딕"/>
          <w:b w:val="0"/>
          <w:i w:val="0"/>
          <w:color w:val="1A1A1A"/>
          <w:sz w:val="21"/>
        </w:rPr>
        <w:t xml:space="preserve">2024 시즌을 학습에, 2025 시즌을 테스트에 사용한다. 검증셋은 학습 구간의 </w:t>
      </w:r>
      <w:r>
        <w:rPr>
          <w:rFonts w:ascii="맑은 고딕" w:hAnsi="맑은 고딕" w:eastAsia="맑은 고딕"/>
          <w:b/>
          <w:i w:val="0"/>
          <w:color w:val="1A1A1A"/>
          <w:sz w:val="21"/>
        </w:rPr>
        <w:t>뒷부분 날짜</w:t>
      </w:r>
      <w:r>
        <w:rPr>
          <w:rFonts w:ascii="맑은 고딕" w:hAnsi="맑은 고딕" w:eastAsia="맑은 고딕"/>
          <w:b w:val="0"/>
          <w:i w:val="0"/>
          <w:color w:val="1A1A1A"/>
          <w:sz w:val="21"/>
        </w:rPr>
        <w:t>에서 15%를 분리하였다. 무작위 분할과 달리 같은 타석의 이웃 투구가 학습과 검증으로 갈리지 않는다. 인코더와 정규화 통계는 학습 구간에만 적합하고 그 값을 검증·테스트에 그대로 적용한다.</w:t>
      </w:r>
    </w:p>
    <w:p>
      <w:pPr>
        <w:spacing w:after="120"/>
        <w:ind w:firstLine="227"/>
      </w:pPr>
      <w:r>
        <w:rPr>
          <w:rFonts w:ascii="맑은 고딕" w:hAnsi="맑은 고딕" w:eastAsia="맑은 고딕"/>
          <w:b w:val="0"/>
          <w:i w:val="0"/>
          <w:color w:val="1A1A1A"/>
          <w:sz w:val="21"/>
        </w:rPr>
        <w:t xml:space="preserve">손실 함수는 단순 교차 엔트로피를 사용하고 </w:t>
      </w:r>
      <w:r>
        <w:rPr>
          <w:rFonts w:ascii="맑은 고딕" w:hAnsi="맑은 고딕" w:eastAsia="맑은 고딕"/>
          <w:b/>
          <w:i w:val="0"/>
          <w:color w:val="1A1A1A"/>
          <w:sz w:val="21"/>
        </w:rPr>
        <w:t>오버샘플링을 적용하지 않았다.</w:t>
      </w:r>
      <w:r>
        <w:rPr>
          <w:rFonts w:ascii="맑은 고딕" w:hAnsi="맑은 고딕" w:eastAsia="맑은 고딕"/>
          <w:b w:val="0"/>
          <w:i w:val="0"/>
          <w:color w:val="1A1A1A"/>
          <w:sz w:val="21"/>
        </w:rPr>
        <w:t xml:space="preserve"> 3.3에서 확인하였듯 이중 보정은 확률을 왜곡한다. 희귀 클래스의 재현율을 높이는 대신 확률의 정직성을 택한 것이며, 이 선택의 결과는 5.4에서 정량적으로 검토한다. 최적화는 AdamW(학습률 3×10⁻⁴, weight decay 10⁻⁴), 스케줄러는 ReduceLROnPlateau, 그래디언트 클리핑 1.0을 적용하였다. </w:t>
      </w:r>
      <w:r>
        <w:rPr>
          <w:rFonts w:ascii="맑은 고딕" w:hAnsi="맑은 고딕" w:eastAsia="맑은 고딕"/>
          <w:b/>
          <w:i w:val="0"/>
          <w:color w:val="1A1A1A"/>
          <w:sz w:val="21"/>
        </w:rPr>
        <w:t>조기 종료 기준은 검증 log-loss</w:t>
      </w:r>
      <w:r>
        <w:rPr>
          <w:rFonts w:ascii="맑은 고딕" w:hAnsi="맑은 고딕" w:eastAsia="맑은 고딕"/>
          <w:b w:val="0"/>
          <w:i w:val="0"/>
          <w:color w:val="1A1A1A"/>
          <w:sz w:val="21"/>
        </w:rPr>
        <w:t>이며, 정확도의 우연한 최고점을 성능으로 채택하지 않는다.</w:t>
      </w:r>
    </w:p>
    <w:p>
      <w:pPr>
        <w:spacing w:before="200" w:after="120"/>
      </w:pPr>
      <w:r>
        <w:rPr>
          <w:rFonts w:ascii="맑은 고딕" w:hAnsi="맑은 고딕" w:eastAsia="맑은 고딕"/>
          <w:b/>
          <w:color w:val="1C5CAB"/>
          <w:sz w:val="25"/>
        </w:rPr>
        <w:t>4.5 추천 로직</w:t>
      </w:r>
    </w:p>
    <w:p>
      <w:pPr>
        <w:spacing w:after="120"/>
        <w:ind w:firstLine="227"/>
      </w:pPr>
      <w:r>
        <w:rPr>
          <w:rFonts w:ascii="맑은 고딕" w:hAnsi="맑은 고딕" w:eastAsia="맑은 고딕"/>
          <w:b w:val="0"/>
          <w:i w:val="0"/>
          <w:color w:val="1A1A1A"/>
          <w:sz w:val="21"/>
        </w:rPr>
        <w:t xml:space="preserve">추천은 후보 생성과 점수화의 두 단계로 이루어진다. 후보는 해당 투수가 실제로 던지는 구종과 9×9 좌표 격자의 조합으로 생성한다. 초기 구현은 존 안 9칸만을 후보로 삼아 </w:t>
      </w:r>
      <w:r>
        <w:rPr>
          <w:rFonts w:ascii="맑은 고딕" w:hAnsi="맑은 고딕" w:eastAsia="맑은 고딕"/>
          <w:b/>
          <w:i w:val="0"/>
          <w:color w:val="1A1A1A"/>
          <w:sz w:val="21"/>
        </w:rPr>
        <w:t>유인구를 추천할 수 없었으나</w:t>
      </w:r>
      <w:r>
        <w:rPr>
          <w:rFonts w:ascii="맑은 고딕" w:hAnsi="맑은 고딕" w:eastAsia="맑은 고딕"/>
          <w:b w:val="0"/>
          <w:i w:val="0"/>
          <w:color w:val="1A1A1A"/>
          <w:sz w:val="21"/>
        </w:rPr>
        <w:t xml:space="preserve">, 본 개정은 격자를 존 밖까지 확장하였다. 각 구종의 물리량은 리그 평균 상수가 아니라 </w:t>
      </w:r>
      <w:r>
        <w:rPr>
          <w:rFonts w:ascii="맑은 고딕" w:hAnsi="맑은 고딕" w:eastAsia="맑은 고딕"/>
          <w:b/>
          <w:i w:val="0"/>
          <w:color w:val="1A1A1A"/>
          <w:sz w:val="21"/>
        </w:rPr>
        <w:t>해당 투수의 실측 평균</w:t>
      </w:r>
      <w:r>
        <w:rPr>
          <w:rFonts w:ascii="맑은 고딕" w:hAnsi="맑은 고딕" w:eastAsia="맑은 고딕"/>
          <w:b w:val="0"/>
          <w:i w:val="0"/>
          <w:color w:val="1A1A1A"/>
          <w:sz w:val="21"/>
        </w:rPr>
        <w:t>을 사용한다. 현재 참조 테이블은 투수 1,010명에 대해 3,950개의 (투수, 구종) 조합을 보유한다.</w:t>
      </w:r>
    </w:p>
    <w:p>
      <w:pPr>
        <w:spacing w:after="120"/>
        <w:ind w:firstLine="227"/>
      </w:pPr>
      <w:r>
        <w:rPr>
          <w:rFonts w:ascii="맑은 고딕" w:hAnsi="맑은 고딕" w:eastAsia="맑은 고딕"/>
          <w:b w:val="0"/>
          <w:i w:val="0"/>
          <w:color w:val="1A1A1A"/>
          <w:sz w:val="21"/>
        </w:rPr>
        <w:t>점수는 모델이 산출한 결과 확률 분포를 카운트 조건부 기대 실점으로 가중합한 값이다.</w:t>
      </w:r>
    </w:p>
    <w:p>
      <w:pPr>
        <w:spacing w:before="80" w:after="160" w:line="276" w:lineRule="auto"/>
        <w:ind w:left="340"/>
      </w:pPr>
      <w:r>
        <w:rPr>
          <w:rFonts w:ascii="Consolas" w:hAnsi="Consolas" w:eastAsia="Consolas"/>
          <w:b w:val="0"/>
          <w:color w:val="333333"/>
          <w:sz w:val="18"/>
        </w:rPr>
        <w:t>score(p) = Σ_c  P(결과 = c | 투구 p, 상황)  ×  ΔRE(c | 볼카운트)</w:t>
      </w:r>
    </w:p>
    <w:p>
      <w:pPr>
        <w:spacing w:after="120"/>
        <w:ind w:firstLine="227"/>
      </w:pPr>
      <w:r>
        <w:rPr>
          <w:rFonts w:ascii="맑은 고딕" w:hAnsi="맑은 고딕" w:eastAsia="맑은 고딕"/>
          <w:b w:val="0"/>
          <w:i w:val="0"/>
          <w:color w:val="1A1A1A"/>
          <w:sz w:val="21"/>
        </w:rPr>
        <w:t>여기서 ΔRE는 Statcast가 제공하는 투구별 기대 득점 변화량(delta_run_exp)에서 직접 추정한다. 표 2에서 보듯 같은 '볼'이라도 0-0에서는 거의 무해하지만 3-2에서는 볼넷이 되어 8배 이상의 값을 갖는다. 2스트라이크에서의 파울은 거의 무가치한 반면 범타는 큰 이득이다. 초기 점수 함수의 이분법은 이러한 차이를 전혀 담지 못하였다.</w:t>
      </w:r>
    </w:p>
    <w:tbl>
      <w:tblPr>
        <w:tblStyle w:val="TableGrid"/>
        <w:tblW w:type="auto" w:w="0"/>
        <w:jc w:val="center"/>
        <w:tblLook w:firstColumn="1" w:firstRow="1" w:lastColumn="0" w:lastRow="0" w:noHBand="0" w:noVBand="1" w:val="04A0"/>
      </w:tblPr>
      <w:tblGrid>
        <w:gridCol w:w="1549"/>
        <w:gridCol w:w="1549"/>
        <w:gridCol w:w="1549"/>
        <w:gridCol w:w="1549"/>
        <w:gridCol w:w="1549"/>
        <w:gridCol w:w="1549"/>
      </w:tblGrid>
      <w:tr>
        <w:tc>
          <w:tcPr>
            <w:tcW w:type="dxa" w:w="2154"/>
          </w:tcPr>
          <w:p>
            <w:pPr>
              <w:spacing w:line="240" w:lineRule="auto" w:after="40"/>
              <w:jc w:val="center"/>
            </w:pPr>
            <w:r/>
            <w:r>
              <w:rPr>
                <w:rFonts w:ascii="맑은 고딕" w:hAnsi="맑은 고딕" w:eastAsia="맑은 고딕"/>
                <w:b/>
                <w:color w:val="1A1A1A"/>
                <w:sz w:val="19"/>
              </w:rPr>
              <w:t>결과</w:t>
            </w:r>
          </w:p>
        </w:tc>
        <w:tc>
          <w:tcPr>
            <w:tcW w:type="dxa" w:w="1247"/>
          </w:tcPr>
          <w:p>
            <w:pPr>
              <w:spacing w:line="240" w:lineRule="auto" w:after="40"/>
              <w:jc w:val="center"/>
            </w:pPr>
            <w:r/>
            <w:r>
              <w:rPr>
                <w:rFonts w:ascii="맑은 고딕" w:hAnsi="맑은 고딕" w:eastAsia="맑은 고딕"/>
                <w:b/>
                <w:color w:val="1A1A1A"/>
                <w:sz w:val="19"/>
              </w:rPr>
              <w:t>0-0</w:t>
            </w:r>
          </w:p>
        </w:tc>
        <w:tc>
          <w:tcPr>
            <w:tcW w:type="dxa" w:w="1247"/>
          </w:tcPr>
          <w:p>
            <w:pPr>
              <w:spacing w:line="240" w:lineRule="auto" w:after="40"/>
              <w:jc w:val="center"/>
            </w:pPr>
            <w:r/>
            <w:r>
              <w:rPr>
                <w:rFonts w:ascii="맑은 고딕" w:hAnsi="맑은 고딕" w:eastAsia="맑은 고딕"/>
                <w:b/>
                <w:color w:val="1A1A1A"/>
                <w:sz w:val="19"/>
              </w:rPr>
              <w:t>0-2</w:t>
            </w:r>
          </w:p>
        </w:tc>
        <w:tc>
          <w:tcPr>
            <w:tcW w:type="dxa" w:w="1247"/>
          </w:tcPr>
          <w:p>
            <w:pPr>
              <w:spacing w:line="240" w:lineRule="auto" w:after="40"/>
              <w:jc w:val="center"/>
            </w:pPr>
            <w:r/>
            <w:r>
              <w:rPr>
                <w:rFonts w:ascii="맑은 고딕" w:hAnsi="맑은 고딕" w:eastAsia="맑은 고딕"/>
                <w:b/>
                <w:color w:val="1A1A1A"/>
                <w:sz w:val="19"/>
              </w:rPr>
              <w:t>1-2</w:t>
            </w:r>
          </w:p>
        </w:tc>
        <w:tc>
          <w:tcPr>
            <w:tcW w:type="dxa" w:w="1247"/>
          </w:tcPr>
          <w:p>
            <w:pPr>
              <w:spacing w:line="240" w:lineRule="auto" w:after="40"/>
              <w:jc w:val="center"/>
            </w:pPr>
            <w:r/>
            <w:r>
              <w:rPr>
                <w:rFonts w:ascii="맑은 고딕" w:hAnsi="맑은 고딕" w:eastAsia="맑은 고딕"/>
                <w:b/>
                <w:color w:val="1A1A1A"/>
                <w:sz w:val="19"/>
              </w:rPr>
              <w:t>2-2</w:t>
            </w:r>
          </w:p>
        </w:tc>
        <w:tc>
          <w:tcPr>
            <w:tcW w:type="dxa" w:w="1247"/>
          </w:tcPr>
          <w:p>
            <w:pPr>
              <w:spacing w:line="240" w:lineRule="auto" w:after="40"/>
              <w:jc w:val="center"/>
            </w:pPr>
            <w:r/>
            <w:r>
              <w:rPr>
                <w:rFonts w:ascii="맑은 고딕" w:hAnsi="맑은 고딕" w:eastAsia="맑은 고딕"/>
                <w:b/>
                <w:color w:val="1A1A1A"/>
                <w:sz w:val="19"/>
              </w:rPr>
              <w:t>3-2</w:t>
            </w:r>
          </w:p>
        </w:tc>
      </w:tr>
      <w:tr>
        <w:tc>
          <w:tcPr>
            <w:tcW w:type="dxa" w:w="2154"/>
          </w:tcPr>
          <w:p>
            <w:pPr>
              <w:spacing w:line="240" w:lineRule="auto" w:after="40"/>
              <w:jc w:val="left"/>
            </w:pPr>
            <w:r>
              <w:rPr>
                <w:rFonts w:ascii="맑은 고딕" w:hAnsi="맑은 고딕" w:eastAsia="맑은 고딕"/>
                <w:b w:val="0"/>
                <w:color w:val="1A1A1A"/>
                <w:sz w:val="19"/>
              </w:rPr>
              <w:t>볼</w:t>
            </w:r>
          </w:p>
        </w:tc>
        <w:tc>
          <w:tcPr>
            <w:tcW w:type="dxa" w:w="1247"/>
          </w:tcPr>
          <w:p>
            <w:pPr>
              <w:spacing w:line="240" w:lineRule="auto" w:after="40"/>
              <w:jc w:val="center"/>
            </w:pPr>
            <w:r>
              <w:rPr>
                <w:rFonts w:ascii="맑은 고딕" w:hAnsi="맑은 고딕" w:eastAsia="맑은 고딕"/>
                <w:b w:val="0"/>
                <w:color w:val="1A1A1A"/>
                <w:sz w:val="19"/>
              </w:rPr>
              <w:t>+0.036</w:t>
            </w:r>
          </w:p>
        </w:tc>
        <w:tc>
          <w:tcPr>
            <w:tcW w:type="dxa" w:w="1247"/>
          </w:tcPr>
          <w:p>
            <w:pPr>
              <w:spacing w:line="240" w:lineRule="auto" w:after="40"/>
              <w:jc w:val="center"/>
            </w:pPr>
            <w:r>
              <w:rPr>
                <w:rFonts w:ascii="맑은 고딕" w:hAnsi="맑은 고딕" w:eastAsia="맑은 고딕"/>
                <w:b w:val="0"/>
                <w:color w:val="1A1A1A"/>
                <w:sz w:val="19"/>
              </w:rPr>
              <w:t>+0.020</w:t>
            </w:r>
          </w:p>
        </w:tc>
        <w:tc>
          <w:tcPr>
            <w:tcW w:type="dxa" w:w="1247"/>
          </w:tcPr>
          <w:p>
            <w:pPr>
              <w:spacing w:line="240" w:lineRule="auto" w:after="40"/>
              <w:jc w:val="center"/>
            </w:pPr>
            <w:r>
              <w:rPr>
                <w:rFonts w:ascii="맑은 고딕" w:hAnsi="맑은 고딕" w:eastAsia="맑은 고딕"/>
                <w:b w:val="0"/>
                <w:color w:val="1A1A1A"/>
                <w:sz w:val="19"/>
              </w:rPr>
              <w:t>+0.039</w:t>
            </w:r>
          </w:p>
        </w:tc>
        <w:tc>
          <w:tcPr>
            <w:tcW w:type="dxa" w:w="1247"/>
          </w:tcPr>
          <w:p>
            <w:pPr>
              <w:spacing w:line="240" w:lineRule="auto" w:after="40"/>
              <w:jc w:val="center"/>
            </w:pPr>
            <w:r>
              <w:rPr>
                <w:rFonts w:ascii="맑은 고딕" w:hAnsi="맑은 고딕" w:eastAsia="맑은 고딕"/>
                <w:b w:val="0"/>
                <w:color w:val="1A1A1A"/>
                <w:sz w:val="19"/>
              </w:rPr>
              <w:t>+0.096</w:t>
            </w:r>
          </w:p>
        </w:tc>
        <w:tc>
          <w:tcPr>
            <w:tcW w:type="dxa" w:w="1247"/>
          </w:tcPr>
          <w:p>
            <w:pPr>
              <w:spacing w:line="240" w:lineRule="auto" w:after="40"/>
              <w:jc w:val="center"/>
            </w:pPr>
            <w:r>
              <w:rPr>
                <w:rFonts w:ascii="맑은 고딕" w:hAnsi="맑은 고딕" w:eastAsia="맑은 고딕"/>
                <w:b w:val="0"/>
                <w:color w:val="1A1A1A"/>
                <w:sz w:val="19"/>
              </w:rPr>
              <w:t>+0.287</w:t>
            </w:r>
          </w:p>
        </w:tc>
      </w:tr>
      <w:tr>
        <w:tc>
          <w:tcPr>
            <w:tcW w:type="dxa" w:w="2154"/>
          </w:tcPr>
          <w:p>
            <w:pPr>
              <w:spacing w:line="240" w:lineRule="auto" w:after="40"/>
              <w:jc w:val="left"/>
            </w:pPr>
            <w:r>
              <w:rPr>
                <w:rFonts w:ascii="맑은 고딕" w:hAnsi="맑은 고딕" w:eastAsia="맑은 고딕"/>
                <w:b w:val="0"/>
                <w:color w:val="1A1A1A"/>
                <w:sz w:val="19"/>
              </w:rPr>
              <w:t>루킹 스트라이크</w:t>
            </w:r>
          </w:p>
        </w:tc>
        <w:tc>
          <w:tcPr>
            <w:tcW w:type="dxa" w:w="1247"/>
          </w:tcPr>
          <w:p>
            <w:pPr>
              <w:spacing w:line="240" w:lineRule="auto" w:after="40"/>
              <w:jc w:val="center"/>
            </w:pPr>
            <w:r>
              <w:rPr>
                <w:rFonts w:ascii="맑은 고딕" w:hAnsi="맑은 고딕" w:eastAsia="맑은 고딕"/>
                <w:b w:val="0"/>
                <w:color w:val="1A1A1A"/>
                <w:sz w:val="19"/>
              </w:rPr>
              <w:t>-0.040</w:t>
            </w:r>
          </w:p>
        </w:tc>
        <w:tc>
          <w:tcPr>
            <w:tcW w:type="dxa" w:w="1247"/>
          </w:tcPr>
          <w:p>
            <w:pPr>
              <w:spacing w:line="240" w:lineRule="auto" w:after="40"/>
              <w:jc w:val="center"/>
            </w:pPr>
            <w:r>
              <w:rPr>
                <w:rFonts w:ascii="맑은 고딕" w:hAnsi="맑은 고딕" w:eastAsia="맑은 고딕"/>
                <w:b w:val="0"/>
                <w:color w:val="1A1A1A"/>
                <w:sz w:val="19"/>
              </w:rPr>
              <w:t>-0.169</w:t>
            </w:r>
          </w:p>
        </w:tc>
        <w:tc>
          <w:tcPr>
            <w:tcW w:type="dxa" w:w="1247"/>
          </w:tcPr>
          <w:p>
            <w:pPr>
              <w:spacing w:line="240" w:lineRule="auto" w:after="40"/>
              <w:jc w:val="center"/>
            </w:pPr>
            <w:r>
              <w:rPr>
                <w:rFonts w:ascii="맑은 고딕" w:hAnsi="맑은 고딕" w:eastAsia="맑은 고딕"/>
                <w:b w:val="0"/>
                <w:color w:val="1A1A1A"/>
                <w:sz w:val="19"/>
              </w:rPr>
              <w:t>-0.189</w:t>
            </w:r>
          </w:p>
        </w:tc>
        <w:tc>
          <w:tcPr>
            <w:tcW w:type="dxa" w:w="1247"/>
          </w:tcPr>
          <w:p>
            <w:pPr>
              <w:spacing w:line="240" w:lineRule="auto" w:after="40"/>
              <w:jc w:val="center"/>
            </w:pPr>
            <w:r>
              <w:rPr>
                <w:rFonts w:ascii="맑은 고딕" w:hAnsi="맑은 고딕" w:eastAsia="맑은 고딕"/>
                <w:b w:val="0"/>
                <w:color w:val="1A1A1A"/>
                <w:sz w:val="19"/>
              </w:rPr>
              <w:t>-0.228</w:t>
            </w:r>
          </w:p>
        </w:tc>
        <w:tc>
          <w:tcPr>
            <w:tcW w:type="dxa" w:w="1247"/>
          </w:tcPr>
          <w:p>
            <w:pPr>
              <w:spacing w:line="240" w:lineRule="auto" w:after="40"/>
              <w:jc w:val="center"/>
            </w:pPr>
            <w:r>
              <w:rPr>
                <w:rFonts w:ascii="맑은 고딕" w:hAnsi="맑은 고딕" w:eastAsia="맑은 고딕"/>
                <w:b w:val="0"/>
                <w:color w:val="1A1A1A"/>
                <w:sz w:val="19"/>
              </w:rPr>
              <w:t>-0.325</w:t>
            </w:r>
          </w:p>
        </w:tc>
      </w:tr>
      <w:tr>
        <w:tc>
          <w:tcPr>
            <w:tcW w:type="dxa" w:w="2154"/>
          </w:tcPr>
          <w:p>
            <w:pPr>
              <w:spacing w:line="240" w:lineRule="auto" w:after="40"/>
              <w:jc w:val="left"/>
            </w:pPr>
            <w:r>
              <w:rPr>
                <w:rFonts w:ascii="맑은 고딕" w:hAnsi="맑은 고딕" w:eastAsia="맑은 고딕"/>
                <w:b w:val="0"/>
                <w:color w:val="1A1A1A"/>
                <w:sz w:val="19"/>
              </w:rPr>
              <w:t>헛스윙 스트라이크</w:t>
            </w:r>
          </w:p>
        </w:tc>
        <w:tc>
          <w:tcPr>
            <w:tcW w:type="dxa" w:w="1247"/>
          </w:tcPr>
          <w:p>
            <w:pPr>
              <w:spacing w:line="240" w:lineRule="auto" w:after="40"/>
              <w:jc w:val="center"/>
            </w:pPr>
            <w:r>
              <w:rPr>
                <w:rFonts w:ascii="맑은 고딕" w:hAnsi="맑은 고딕" w:eastAsia="맑은 고딕"/>
                <w:b w:val="0"/>
                <w:color w:val="1A1A1A"/>
                <w:sz w:val="19"/>
              </w:rPr>
              <w:t>-0.041</w:t>
            </w:r>
          </w:p>
        </w:tc>
        <w:tc>
          <w:tcPr>
            <w:tcW w:type="dxa" w:w="1247"/>
          </w:tcPr>
          <w:p>
            <w:pPr>
              <w:spacing w:line="240" w:lineRule="auto" w:after="40"/>
              <w:jc w:val="center"/>
            </w:pPr>
            <w:r>
              <w:rPr>
                <w:rFonts w:ascii="맑은 고딕" w:hAnsi="맑은 고딕" w:eastAsia="맑은 고딕"/>
                <w:b w:val="0"/>
                <w:color w:val="1A1A1A"/>
                <w:sz w:val="19"/>
              </w:rPr>
              <w:t>-0.168</w:t>
            </w:r>
          </w:p>
        </w:tc>
        <w:tc>
          <w:tcPr>
            <w:tcW w:type="dxa" w:w="1247"/>
          </w:tcPr>
          <w:p>
            <w:pPr>
              <w:spacing w:line="240" w:lineRule="auto" w:after="40"/>
              <w:jc w:val="center"/>
            </w:pPr>
            <w:r>
              <w:rPr>
                <w:rFonts w:ascii="맑은 고딕" w:hAnsi="맑은 고딕" w:eastAsia="맑은 고딕"/>
                <w:b w:val="0"/>
                <w:color w:val="1A1A1A"/>
                <w:sz w:val="19"/>
              </w:rPr>
              <w:t>-0.188</w:t>
            </w:r>
          </w:p>
        </w:tc>
        <w:tc>
          <w:tcPr>
            <w:tcW w:type="dxa" w:w="1247"/>
          </w:tcPr>
          <w:p>
            <w:pPr>
              <w:spacing w:line="240" w:lineRule="auto" w:after="40"/>
              <w:jc w:val="center"/>
            </w:pPr>
            <w:r>
              <w:rPr>
                <w:rFonts w:ascii="맑은 고딕" w:hAnsi="맑은 고딕" w:eastAsia="맑은 고딕"/>
                <w:b w:val="0"/>
                <w:color w:val="1A1A1A"/>
                <w:sz w:val="19"/>
              </w:rPr>
              <w:t>-0.228</w:t>
            </w:r>
          </w:p>
        </w:tc>
        <w:tc>
          <w:tcPr>
            <w:tcW w:type="dxa" w:w="1247"/>
          </w:tcPr>
          <w:p>
            <w:pPr>
              <w:spacing w:line="240" w:lineRule="auto" w:after="40"/>
              <w:jc w:val="center"/>
            </w:pPr>
            <w:r>
              <w:rPr>
                <w:rFonts w:ascii="맑은 고딕" w:hAnsi="맑은 고딕" w:eastAsia="맑은 고딕"/>
                <w:b w:val="0"/>
                <w:color w:val="1A1A1A"/>
                <w:sz w:val="19"/>
              </w:rPr>
              <w:t>-0.323</w:t>
            </w:r>
          </w:p>
        </w:tc>
      </w:tr>
      <w:tr>
        <w:tc>
          <w:tcPr>
            <w:tcW w:type="dxa" w:w="2154"/>
          </w:tcPr>
          <w:p>
            <w:pPr>
              <w:spacing w:line="240" w:lineRule="auto" w:after="40"/>
              <w:jc w:val="left"/>
            </w:pPr>
            <w:r>
              <w:rPr>
                <w:rFonts w:ascii="맑은 고딕" w:hAnsi="맑은 고딕" w:eastAsia="맑은 고딕"/>
                <w:b w:val="0"/>
                <w:color w:val="1A1A1A"/>
                <w:sz w:val="19"/>
              </w:rPr>
              <w:t>파울</w:t>
            </w:r>
          </w:p>
        </w:tc>
        <w:tc>
          <w:tcPr>
            <w:tcW w:type="dxa" w:w="1247"/>
          </w:tcPr>
          <w:p>
            <w:pPr>
              <w:spacing w:line="240" w:lineRule="auto" w:after="40"/>
              <w:jc w:val="center"/>
            </w:pPr>
            <w:r>
              <w:rPr>
                <w:rFonts w:ascii="맑은 고딕" w:hAnsi="맑은 고딕" w:eastAsia="맑은 고딕"/>
                <w:b w:val="0"/>
                <w:color w:val="1A1A1A"/>
                <w:sz w:val="19"/>
              </w:rPr>
              <w:t>-0.040</w:t>
            </w:r>
          </w:p>
        </w:tc>
        <w:tc>
          <w:tcPr>
            <w:tcW w:type="dxa" w:w="1247"/>
          </w:tcPr>
          <w:p>
            <w:pPr>
              <w:spacing w:line="240" w:lineRule="auto" w:after="40"/>
              <w:jc w:val="center"/>
            </w:pPr>
            <w:r>
              <w:rPr>
                <w:rFonts w:ascii="맑은 고딕" w:hAnsi="맑은 고딕" w:eastAsia="맑은 고딕"/>
                <w:b w:val="0"/>
                <w:color w:val="1A1A1A"/>
                <w:sz w:val="19"/>
              </w:rPr>
              <w:t>-0.010</w:t>
            </w:r>
          </w:p>
        </w:tc>
        <w:tc>
          <w:tcPr>
            <w:tcW w:type="dxa" w:w="1247"/>
          </w:tcPr>
          <w:p>
            <w:pPr>
              <w:spacing w:line="240" w:lineRule="auto" w:after="40"/>
              <w:jc w:val="center"/>
            </w:pPr>
            <w:r>
              <w:rPr>
                <w:rFonts w:ascii="맑은 고딕" w:hAnsi="맑은 고딕" w:eastAsia="맑은 고딕"/>
                <w:b w:val="0"/>
                <w:color w:val="1A1A1A"/>
                <w:sz w:val="19"/>
              </w:rPr>
              <w:t>-0.010</w:t>
            </w:r>
          </w:p>
        </w:tc>
        <w:tc>
          <w:tcPr>
            <w:tcW w:type="dxa" w:w="1247"/>
          </w:tcPr>
          <w:p>
            <w:pPr>
              <w:spacing w:line="240" w:lineRule="auto" w:after="40"/>
              <w:jc w:val="center"/>
            </w:pPr>
            <w:r>
              <w:rPr>
                <w:rFonts w:ascii="맑은 고딕" w:hAnsi="맑은 고딕" w:eastAsia="맑은 고딕"/>
                <w:b w:val="0"/>
                <w:color w:val="1A1A1A"/>
                <w:sz w:val="19"/>
              </w:rPr>
              <w:t>-0.013</w:t>
            </w:r>
          </w:p>
        </w:tc>
        <w:tc>
          <w:tcPr>
            <w:tcW w:type="dxa" w:w="1247"/>
          </w:tcPr>
          <w:p>
            <w:pPr>
              <w:spacing w:line="240" w:lineRule="auto" w:after="40"/>
              <w:jc w:val="center"/>
            </w:pPr>
            <w:r>
              <w:rPr>
                <w:rFonts w:ascii="맑은 고딕" w:hAnsi="맑은 고딕" w:eastAsia="맑은 고딕"/>
                <w:b w:val="0"/>
                <w:color w:val="1A1A1A"/>
                <w:sz w:val="19"/>
              </w:rPr>
              <w:t>-0.017</w:t>
            </w:r>
          </w:p>
        </w:tc>
      </w:tr>
      <w:tr>
        <w:tc>
          <w:tcPr>
            <w:tcW w:type="dxa" w:w="2154"/>
          </w:tcPr>
          <w:p>
            <w:pPr>
              <w:spacing w:line="240" w:lineRule="auto" w:after="40"/>
              <w:jc w:val="left"/>
            </w:pPr>
            <w:r>
              <w:rPr>
                <w:rFonts w:ascii="맑은 고딕" w:hAnsi="맑은 고딕" w:eastAsia="맑은 고딕"/>
                <w:b w:val="0"/>
                <w:color w:val="1A1A1A"/>
                <w:sz w:val="19"/>
              </w:rPr>
              <w:t>인플레이 아웃</w:t>
            </w:r>
          </w:p>
        </w:tc>
        <w:tc>
          <w:tcPr>
            <w:tcW w:type="dxa" w:w="1247"/>
          </w:tcPr>
          <w:p>
            <w:pPr>
              <w:spacing w:line="240" w:lineRule="auto" w:after="40"/>
              <w:jc w:val="center"/>
            </w:pPr>
            <w:r>
              <w:rPr>
                <w:rFonts w:ascii="맑은 고딕" w:hAnsi="맑은 고딕" w:eastAsia="맑은 고딕"/>
                <w:b w:val="0"/>
                <w:color w:val="1A1A1A"/>
                <w:sz w:val="19"/>
              </w:rPr>
              <w:t>-0.253</w:t>
            </w:r>
          </w:p>
        </w:tc>
        <w:tc>
          <w:tcPr>
            <w:tcW w:type="dxa" w:w="1247"/>
          </w:tcPr>
          <w:p>
            <w:pPr>
              <w:spacing w:line="240" w:lineRule="auto" w:after="40"/>
              <w:jc w:val="center"/>
            </w:pPr>
            <w:r>
              <w:rPr>
                <w:rFonts w:ascii="맑은 고딕" w:hAnsi="맑은 고딕" w:eastAsia="맑은 고딕"/>
                <w:b w:val="0"/>
                <w:color w:val="1A1A1A"/>
                <w:sz w:val="19"/>
              </w:rPr>
              <w:t>-0.167</w:t>
            </w:r>
          </w:p>
        </w:tc>
        <w:tc>
          <w:tcPr>
            <w:tcW w:type="dxa" w:w="1247"/>
          </w:tcPr>
          <w:p>
            <w:pPr>
              <w:spacing w:line="240" w:lineRule="auto" w:after="40"/>
              <w:jc w:val="center"/>
            </w:pPr>
            <w:r>
              <w:rPr>
                <w:rFonts w:ascii="맑은 고딕" w:hAnsi="맑은 고딕" w:eastAsia="맑은 고딕"/>
                <w:b w:val="0"/>
                <w:color w:val="1A1A1A"/>
                <w:sz w:val="19"/>
              </w:rPr>
              <w:t>-0.187</w:t>
            </w:r>
          </w:p>
        </w:tc>
        <w:tc>
          <w:tcPr>
            <w:tcW w:type="dxa" w:w="1247"/>
          </w:tcPr>
          <w:p>
            <w:pPr>
              <w:spacing w:line="240" w:lineRule="auto" w:after="40"/>
              <w:jc w:val="center"/>
            </w:pPr>
            <w:r>
              <w:rPr>
                <w:rFonts w:ascii="맑은 고딕" w:hAnsi="맑은 고딕" w:eastAsia="맑은 고딕"/>
                <w:b w:val="0"/>
                <w:color w:val="1A1A1A"/>
                <w:sz w:val="19"/>
              </w:rPr>
              <w:t>-0.225</w:t>
            </w:r>
          </w:p>
        </w:tc>
        <w:tc>
          <w:tcPr>
            <w:tcW w:type="dxa" w:w="1247"/>
          </w:tcPr>
          <w:p>
            <w:pPr>
              <w:spacing w:line="240" w:lineRule="auto" w:after="40"/>
              <w:jc w:val="center"/>
            </w:pPr>
            <w:r>
              <w:rPr>
                <w:rFonts w:ascii="맑은 고딕" w:hAnsi="맑은 고딕" w:eastAsia="맑은 고딕"/>
                <w:b w:val="0"/>
                <w:color w:val="1A1A1A"/>
                <w:sz w:val="19"/>
              </w:rPr>
              <w:t>-0.320</w:t>
            </w:r>
          </w:p>
        </w:tc>
      </w:tr>
      <w:tr>
        <w:tc>
          <w:tcPr>
            <w:tcW w:type="dxa" w:w="2154"/>
          </w:tcPr>
          <w:p>
            <w:pPr>
              <w:spacing w:line="240" w:lineRule="auto" w:after="40"/>
              <w:jc w:val="left"/>
            </w:pPr>
            <w:r>
              <w:rPr>
                <w:rFonts w:ascii="맑은 고딕" w:hAnsi="맑은 고딕" w:eastAsia="맑은 고딕"/>
                <w:b w:val="0"/>
                <w:color w:val="1A1A1A"/>
                <w:sz w:val="19"/>
              </w:rPr>
              <w:t>단타</w:t>
            </w:r>
          </w:p>
        </w:tc>
        <w:tc>
          <w:tcPr>
            <w:tcW w:type="dxa" w:w="1247"/>
          </w:tcPr>
          <w:p>
            <w:pPr>
              <w:spacing w:line="240" w:lineRule="auto" w:after="40"/>
              <w:jc w:val="center"/>
            </w:pPr>
            <w:r>
              <w:rPr>
                <w:rFonts w:ascii="맑은 고딕" w:hAnsi="맑은 고딕" w:eastAsia="맑은 고딕"/>
                <w:b w:val="0"/>
                <w:color w:val="1A1A1A"/>
                <w:sz w:val="19"/>
              </w:rPr>
              <w:t>+0.423</w:t>
            </w:r>
          </w:p>
        </w:tc>
        <w:tc>
          <w:tcPr>
            <w:tcW w:type="dxa" w:w="1247"/>
          </w:tcPr>
          <w:p>
            <w:pPr>
              <w:spacing w:line="240" w:lineRule="auto" w:after="40"/>
              <w:jc w:val="center"/>
            </w:pPr>
            <w:r>
              <w:rPr>
                <w:rFonts w:ascii="맑은 고딕" w:hAnsi="맑은 고딕" w:eastAsia="맑은 고딕"/>
                <w:b w:val="0"/>
                <w:color w:val="1A1A1A"/>
                <w:sz w:val="19"/>
              </w:rPr>
              <w:t>+0.536</w:t>
            </w:r>
          </w:p>
        </w:tc>
        <w:tc>
          <w:tcPr>
            <w:tcW w:type="dxa" w:w="1247"/>
          </w:tcPr>
          <w:p>
            <w:pPr>
              <w:spacing w:line="240" w:lineRule="auto" w:after="40"/>
              <w:jc w:val="center"/>
            </w:pPr>
            <w:r>
              <w:rPr>
                <w:rFonts w:ascii="맑은 고딕" w:hAnsi="맑은 고딕" w:eastAsia="맑은 고딕"/>
                <w:b w:val="0"/>
                <w:color w:val="1A1A1A"/>
                <w:sz w:val="19"/>
              </w:rPr>
              <w:t>+0.519</w:t>
            </w:r>
          </w:p>
        </w:tc>
        <w:tc>
          <w:tcPr>
            <w:tcW w:type="dxa" w:w="1247"/>
          </w:tcPr>
          <w:p>
            <w:pPr>
              <w:spacing w:line="240" w:lineRule="auto" w:after="40"/>
              <w:jc w:val="center"/>
            </w:pPr>
            <w:r>
              <w:rPr>
                <w:rFonts w:ascii="맑은 고딕" w:hAnsi="맑은 고딕" w:eastAsia="맑은 고딕"/>
                <w:b w:val="0"/>
                <w:color w:val="1A1A1A"/>
                <w:sz w:val="19"/>
              </w:rPr>
              <w:t>+0.481</w:t>
            </w:r>
          </w:p>
        </w:tc>
        <w:tc>
          <w:tcPr>
            <w:tcW w:type="dxa" w:w="1247"/>
          </w:tcPr>
          <w:p>
            <w:pPr>
              <w:spacing w:line="240" w:lineRule="auto" w:after="40"/>
              <w:jc w:val="center"/>
            </w:pPr>
            <w:r>
              <w:rPr>
                <w:rFonts w:ascii="맑은 고딕" w:hAnsi="맑은 고딕" w:eastAsia="맑은 고딕"/>
                <w:b w:val="0"/>
                <w:color w:val="1A1A1A"/>
                <w:sz w:val="19"/>
              </w:rPr>
              <w:t>+0.383</w:t>
            </w:r>
          </w:p>
        </w:tc>
      </w:tr>
      <w:tr>
        <w:tc>
          <w:tcPr>
            <w:tcW w:type="dxa" w:w="2154"/>
          </w:tcPr>
          <w:p>
            <w:pPr>
              <w:spacing w:line="240" w:lineRule="auto" w:after="40"/>
              <w:jc w:val="left"/>
            </w:pPr>
            <w:r>
              <w:rPr>
                <w:rFonts w:ascii="맑은 고딕" w:hAnsi="맑은 고딕" w:eastAsia="맑은 고딕"/>
                <w:b w:val="0"/>
                <w:color w:val="1A1A1A"/>
                <w:sz w:val="19"/>
              </w:rPr>
              <w:t>홈런</w:t>
            </w:r>
          </w:p>
        </w:tc>
        <w:tc>
          <w:tcPr>
            <w:tcW w:type="dxa" w:w="1247"/>
          </w:tcPr>
          <w:p>
            <w:pPr>
              <w:spacing w:line="240" w:lineRule="auto" w:after="40"/>
              <w:jc w:val="center"/>
            </w:pPr>
            <w:r>
              <w:rPr>
                <w:rFonts w:ascii="맑은 고딕" w:hAnsi="맑은 고딕" w:eastAsia="맑은 고딕"/>
                <w:b w:val="0"/>
                <w:color w:val="1A1A1A"/>
                <w:sz w:val="19"/>
              </w:rPr>
              <w:t>+1.522</w:t>
            </w:r>
          </w:p>
        </w:tc>
        <w:tc>
          <w:tcPr>
            <w:tcW w:type="dxa" w:w="1247"/>
          </w:tcPr>
          <w:p>
            <w:pPr>
              <w:spacing w:line="240" w:lineRule="auto" w:after="40"/>
              <w:jc w:val="center"/>
            </w:pPr>
            <w:r>
              <w:rPr>
                <w:rFonts w:ascii="맑은 고딕" w:hAnsi="맑은 고딕" w:eastAsia="맑은 고딕"/>
                <w:b w:val="0"/>
                <w:color w:val="1A1A1A"/>
                <w:sz w:val="19"/>
              </w:rPr>
              <w:t>+1.628</w:t>
            </w:r>
          </w:p>
        </w:tc>
        <w:tc>
          <w:tcPr>
            <w:tcW w:type="dxa" w:w="1247"/>
          </w:tcPr>
          <w:p>
            <w:pPr>
              <w:spacing w:line="240" w:lineRule="auto" w:after="40"/>
              <w:jc w:val="center"/>
            </w:pPr>
            <w:r>
              <w:rPr>
                <w:rFonts w:ascii="맑은 고딕" w:hAnsi="맑은 고딕" w:eastAsia="맑은 고딕"/>
                <w:b w:val="0"/>
                <w:color w:val="1A1A1A"/>
                <w:sz w:val="19"/>
              </w:rPr>
              <w:t>+1.610</w:t>
            </w:r>
          </w:p>
        </w:tc>
        <w:tc>
          <w:tcPr>
            <w:tcW w:type="dxa" w:w="1247"/>
          </w:tcPr>
          <w:p>
            <w:pPr>
              <w:spacing w:line="240" w:lineRule="auto" w:after="40"/>
              <w:jc w:val="center"/>
            </w:pPr>
            <w:r>
              <w:rPr>
                <w:rFonts w:ascii="맑은 고딕" w:hAnsi="맑은 고딕" w:eastAsia="맑은 고딕"/>
                <w:b w:val="0"/>
                <w:color w:val="1A1A1A"/>
                <w:sz w:val="19"/>
              </w:rPr>
              <w:t>+1.557</w:t>
            </w:r>
          </w:p>
        </w:tc>
        <w:tc>
          <w:tcPr>
            <w:tcW w:type="dxa" w:w="1247"/>
          </w:tcPr>
          <w:p>
            <w:pPr>
              <w:spacing w:line="240" w:lineRule="auto" w:after="40"/>
              <w:jc w:val="center"/>
            </w:pPr>
            <w:r>
              <w:rPr>
                <w:rFonts w:ascii="맑은 고딕" w:hAnsi="맑은 고딕" w:eastAsia="맑은 고딕"/>
                <w:b w:val="0"/>
                <w:color w:val="1A1A1A"/>
                <w:sz w:val="19"/>
              </w:rPr>
              <w:t>+1.498</w:t>
            </w:r>
          </w:p>
        </w:tc>
      </w:tr>
    </w:tbl>
    <w:p>
      <w:pPr>
        <w:spacing w:before="60" w:after="240" w:line="276" w:lineRule="auto"/>
        <w:jc w:val="center"/>
      </w:pPr>
      <w:r>
        <w:rPr>
          <w:rFonts w:ascii="맑은 고딕" w:hAnsi="맑은 고딕" w:eastAsia="맑은 고딕"/>
          <w:b w:val="0"/>
          <w:color w:val="666666"/>
          <w:sz w:val="18"/>
        </w:rPr>
        <w:t>표 2. 카운트 조건부 기대 실점(투수 관점, 음수가 유리). 2024·2025 시즌 delta_run_exp에서 추정하였다.</w:t>
      </w:r>
    </w:p>
    <w:p>
      <w:pPr>
        <w:spacing w:after="120"/>
        <w:ind w:firstLine="227"/>
      </w:pPr>
      <w:r>
        <w:rPr>
          <w:rFonts w:ascii="맑은 고딕" w:hAnsi="맑은 고딕" w:eastAsia="맑은 고딕"/>
          <w:b w:val="0"/>
          <w:i w:val="0"/>
          <w:color w:val="1A1A1A"/>
          <w:sz w:val="21"/>
        </w:rPr>
        <w:t>마지막으로 제구 오차를 반영한다. 투수는 한 점을 정확히 겨눌 수 없으므로, 노린 지점 주변 윈도우의 평균 기대 실점을 그 지점의 대표값으로 삼는다(Takamido와 Nakamoto의 command window). 윈도우 크기를 조절하면 제구가 정밀한 투수와 그렇지 않은 투수를 구분하여 평가할 수 있다.</w:t>
      </w:r>
    </w:p>
    <w:p>
      <w:r>
        <w:br w:type="page"/>
      </w:r>
    </w:p>
    <w:p>
      <w:pPr>
        <w:spacing w:before="320" w:after="120"/>
      </w:pPr>
      <w:r>
        <w:rPr>
          <w:rFonts w:ascii="맑은 고딕" w:hAnsi="맑은 고딕" w:eastAsia="맑은 고딕"/>
          <w:b/>
          <w:color w:val="1A1A1A"/>
          <w:sz w:val="30"/>
        </w:rPr>
        <w:t>5. 실험 결과</w:t>
      </w:r>
    </w:p>
    <w:p>
      <w:pPr>
        <w:spacing w:before="200" w:after="120"/>
      </w:pPr>
      <w:r>
        <w:rPr>
          <w:rFonts w:ascii="맑은 고딕" w:hAnsi="맑은 고딕" w:eastAsia="맑은 고딕"/>
          <w:b/>
          <w:color w:val="1C5CAB"/>
          <w:sz w:val="25"/>
        </w:rPr>
        <w:t>5.1 학습 경과</w:t>
      </w:r>
    </w:p>
    <w:p>
      <w:pPr>
        <w:spacing w:after="120"/>
        <w:ind w:firstLine="227"/>
      </w:pPr>
      <w:r>
        <w:rPr>
          <w:rFonts w:ascii="맑은 고딕" w:hAnsi="맑은 고딕" w:eastAsia="맑은 고딕"/>
          <w:b w:val="0"/>
          <w:i w:val="0"/>
          <w:color w:val="1A1A1A"/>
          <w:sz w:val="21"/>
        </w:rPr>
        <w:t xml:space="preserve">학습은 40에폭 진행되었으며 검증 log-loss는 1.1913에서 1.1120까지 감소하였다. 최저값이 마지막 에폭인 40에폭에서 관측된 점에 주목할 필요가 있다. </w:t>
      </w:r>
      <w:r>
        <w:rPr>
          <w:rFonts w:ascii="맑은 고딕" w:hAnsi="맑은 고딕" w:eastAsia="맑은 고딕"/>
          <w:b/>
          <w:i w:val="0"/>
          <w:color w:val="1A1A1A"/>
          <w:sz w:val="21"/>
        </w:rPr>
        <w:t>조기 종료가 아니라 에폭 상한에 도달하여 학습이 종료된 것</w:t>
      </w:r>
      <w:r>
        <w:rPr>
          <w:rFonts w:ascii="맑은 고딕" w:hAnsi="맑은 고딕" w:eastAsia="맑은 고딕"/>
          <w:b w:val="0"/>
          <w:i w:val="0"/>
          <w:color w:val="1A1A1A"/>
          <w:sz w:val="21"/>
        </w:rPr>
        <w:t>이므로, 현재 성능은 수렴값이 아니라 주어진 예산 안에서의 값이다. 더 긴 학습으로 개선의 여지가 남아 있다.</w:t>
      </w:r>
    </w:p>
    <w:p>
      <w:pPr>
        <w:jc w:val="center"/>
      </w:pPr>
      <w:r>
        <w:drawing>
          <wp:inline xmlns:a="http://schemas.openxmlformats.org/drawingml/2006/main" xmlns:pic="http://schemas.openxmlformats.org/drawingml/2006/picture">
            <wp:extent cx="4860000" cy="2046316"/>
            <wp:docPr id="3" name="Picture 3"/>
            <wp:cNvGraphicFramePr>
              <a:graphicFrameLocks noChangeAspect="1"/>
            </wp:cNvGraphicFramePr>
            <a:graphic>
              <a:graphicData uri="http://schemas.openxmlformats.org/drawingml/2006/picture">
                <pic:pic>
                  <pic:nvPicPr>
                    <pic:cNvPr id="0" name="fig3_curve.png"/>
                    <pic:cNvPicPr/>
                  </pic:nvPicPr>
                  <pic:blipFill>
                    <a:blip r:embed="rId11"/>
                    <a:stretch>
                      <a:fillRect/>
                    </a:stretch>
                  </pic:blipFill>
                  <pic:spPr>
                    <a:xfrm>
                      <a:off x="0" y="0"/>
                      <a:ext cx="4860000" cy="2046316"/>
                    </a:xfrm>
                    <a:prstGeom prst="rect"/>
                  </pic:spPr>
                </pic:pic>
              </a:graphicData>
            </a:graphic>
          </wp:inline>
        </w:drawing>
      </w:r>
    </w:p>
    <w:p>
      <w:pPr>
        <w:spacing w:before="60" w:after="240" w:line="276" w:lineRule="auto"/>
        <w:jc w:val="center"/>
      </w:pPr>
      <w:r>
        <w:rPr>
          <w:rFonts w:ascii="맑은 고딕" w:hAnsi="맑은 고딕" w:eastAsia="맑은 고딕"/>
          <w:b w:val="0"/>
          <w:color w:val="666666"/>
          <w:sz w:val="18"/>
        </w:rPr>
        <w:t>그림 3. 검증 log-loss의 에폭별 추이.</w:t>
      </w:r>
    </w:p>
    <w:p>
      <w:pPr>
        <w:spacing w:before="200" w:after="120"/>
      </w:pPr>
      <w:r>
        <w:rPr>
          <w:rFonts w:ascii="맑은 고딕" w:hAnsi="맑은 고딕" w:eastAsia="맑은 고딕"/>
          <w:b/>
          <w:color w:val="1C5CAB"/>
          <w:sz w:val="25"/>
        </w:rPr>
        <w:t>5.2 테스트 시즌 성능</w:t>
      </w:r>
    </w:p>
    <w:p>
      <w:pPr>
        <w:spacing w:after="120"/>
        <w:ind w:firstLine="227"/>
      </w:pPr>
      <w:r>
        <w:rPr>
          <w:rFonts w:ascii="맑은 고딕" w:hAnsi="맑은 고딕" w:eastAsia="맑은 고딕"/>
          <w:b w:val="0"/>
          <w:i w:val="0"/>
          <w:color w:val="1A1A1A"/>
          <w:sz w:val="21"/>
        </w:rPr>
        <w:t>학습·조기종료·모델선택에 한 번도 사용하지 않은 2025 시즌 712,516구에서 다음 성능을 얻었다.</w:t>
      </w:r>
    </w:p>
    <w:tbl>
      <w:tblPr>
        <w:tblStyle w:val="TableGrid"/>
        <w:tblW w:type="auto" w:w="0"/>
        <w:jc w:val="center"/>
        <w:tblLook w:firstColumn="1" w:firstRow="1" w:lastColumn="0" w:lastRow="0" w:noHBand="0" w:noVBand="1" w:val="04A0"/>
      </w:tblPr>
      <w:tblGrid>
        <w:gridCol w:w="3097"/>
        <w:gridCol w:w="3097"/>
        <w:gridCol w:w="3097"/>
      </w:tblGrid>
      <w:tr>
        <w:tc>
          <w:tcPr>
            <w:tcW w:type="dxa" w:w="2268"/>
          </w:tcPr>
          <w:p>
            <w:pPr>
              <w:spacing w:line="240" w:lineRule="auto" w:after="40"/>
              <w:jc w:val="center"/>
            </w:pPr>
            <w:r/>
            <w:r>
              <w:rPr>
                <w:rFonts w:ascii="맑은 고딕" w:hAnsi="맑은 고딕" w:eastAsia="맑은 고딕"/>
                <w:b/>
                <w:color w:val="1A1A1A"/>
                <w:sz w:val="19"/>
              </w:rPr>
              <w:t>지표</w:t>
            </w:r>
          </w:p>
        </w:tc>
        <w:tc>
          <w:tcPr>
            <w:tcW w:type="dxa" w:w="1701"/>
          </w:tcPr>
          <w:p>
            <w:pPr>
              <w:spacing w:line="240" w:lineRule="auto" w:after="40"/>
              <w:jc w:val="center"/>
            </w:pPr>
            <w:r/>
            <w:r>
              <w:rPr>
                <w:rFonts w:ascii="맑은 고딕" w:hAnsi="맑은 고딕" w:eastAsia="맑은 고딕"/>
                <w:b/>
                <w:color w:val="1A1A1A"/>
                <w:sz w:val="19"/>
              </w:rPr>
              <w:t>값</w:t>
            </w:r>
          </w:p>
        </w:tc>
        <w:tc>
          <w:tcPr>
            <w:tcW w:type="dxa" w:w="4535"/>
          </w:tcPr>
          <w:p>
            <w:pPr>
              <w:spacing w:line="240" w:lineRule="auto" w:after="40"/>
              <w:jc w:val="center"/>
            </w:pPr>
            <w:r/>
            <w:r>
              <w:rPr>
                <w:rFonts w:ascii="맑은 고딕" w:hAnsi="맑은 고딕" w:eastAsia="맑은 고딕"/>
                <w:b/>
                <w:color w:val="1A1A1A"/>
                <w:sz w:val="19"/>
              </w:rPr>
              <w:t>비고</w:t>
            </w:r>
          </w:p>
        </w:tc>
      </w:tr>
      <w:tr>
        <w:tc>
          <w:tcPr>
            <w:tcW w:type="dxa" w:w="2268"/>
          </w:tcPr>
          <w:p>
            <w:pPr>
              <w:spacing w:line="240" w:lineRule="auto" w:after="40"/>
              <w:jc w:val="left"/>
            </w:pPr>
            <w:r>
              <w:rPr>
                <w:rFonts w:ascii="맑은 고딕" w:hAnsi="맑은 고딕" w:eastAsia="맑은 고딕"/>
                <w:b w:val="0"/>
                <w:color w:val="1A1A1A"/>
                <w:sz w:val="19"/>
              </w:rPr>
              <w:t>log-loss</w:t>
            </w:r>
          </w:p>
        </w:tc>
        <w:tc>
          <w:tcPr>
            <w:tcW w:type="dxa" w:w="1701"/>
          </w:tcPr>
          <w:p>
            <w:pPr>
              <w:spacing w:line="240" w:lineRule="auto" w:after="40"/>
              <w:jc w:val="center"/>
            </w:pPr>
            <w:r>
              <w:rPr>
                <w:rFonts w:ascii="맑은 고딕" w:hAnsi="맑은 고딕" w:eastAsia="맑은 고딕"/>
                <w:b w:val="0"/>
                <w:color w:val="1A1A1A"/>
                <w:sz w:val="19"/>
              </w:rPr>
              <w:t>1.1259</w:t>
            </w:r>
          </w:p>
        </w:tc>
        <w:tc>
          <w:tcPr>
            <w:tcW w:type="dxa" w:w="4535"/>
          </w:tcPr>
          <w:p>
            <w:pPr>
              <w:spacing w:line="240" w:lineRule="auto" w:after="40"/>
              <w:jc w:val="center"/>
            </w:pPr>
            <w:r>
              <w:rPr>
                <w:rFonts w:ascii="맑은 고딕" w:hAnsi="맑은 고딕" w:eastAsia="맑은 고딕"/>
                <w:b w:val="0"/>
                <w:color w:val="1A1A1A"/>
                <w:sz w:val="19"/>
              </w:rPr>
              <w:t>주 지표. 낮을수록 좋음</w:t>
            </w:r>
          </w:p>
        </w:tc>
      </w:tr>
      <w:tr>
        <w:tc>
          <w:tcPr>
            <w:tcW w:type="dxa" w:w="2268"/>
          </w:tcPr>
          <w:p>
            <w:pPr>
              <w:spacing w:line="240" w:lineRule="auto" w:after="40"/>
              <w:jc w:val="left"/>
            </w:pPr>
            <w:r>
              <w:rPr>
                <w:rFonts w:ascii="맑은 고딕" w:hAnsi="맑은 고딕" w:eastAsia="맑은 고딕"/>
                <w:b w:val="0"/>
                <w:color w:val="1A1A1A"/>
                <w:sz w:val="19"/>
              </w:rPr>
              <w:t>macro AUC</w:t>
            </w:r>
          </w:p>
        </w:tc>
        <w:tc>
          <w:tcPr>
            <w:tcW w:type="dxa" w:w="1701"/>
          </w:tcPr>
          <w:p>
            <w:pPr>
              <w:spacing w:line="240" w:lineRule="auto" w:after="40"/>
              <w:jc w:val="center"/>
            </w:pPr>
            <w:r>
              <w:rPr>
                <w:rFonts w:ascii="맑은 고딕" w:hAnsi="맑은 고딕" w:eastAsia="맑은 고딕"/>
                <w:b w:val="0"/>
                <w:color w:val="1A1A1A"/>
                <w:sz w:val="19"/>
              </w:rPr>
              <w:t>0.8410</w:t>
            </w:r>
          </w:p>
        </w:tc>
        <w:tc>
          <w:tcPr>
            <w:tcW w:type="dxa" w:w="4535"/>
          </w:tcPr>
          <w:p>
            <w:pPr>
              <w:spacing w:line="240" w:lineRule="auto" w:after="40"/>
              <w:jc w:val="center"/>
            </w:pPr>
            <w:r>
              <w:rPr>
                <w:rFonts w:ascii="맑은 고딕" w:hAnsi="맑은 고딕" w:eastAsia="맑은 고딕"/>
                <w:b w:val="0"/>
                <w:color w:val="1A1A1A"/>
                <w:sz w:val="19"/>
              </w:rPr>
              <w:t>클래스 균등 가중 순위 성능</w:t>
            </w:r>
          </w:p>
        </w:tc>
      </w:tr>
      <w:tr>
        <w:tc>
          <w:tcPr>
            <w:tcW w:type="dxa" w:w="2268"/>
          </w:tcPr>
          <w:p>
            <w:pPr>
              <w:spacing w:line="240" w:lineRule="auto" w:after="40"/>
              <w:jc w:val="left"/>
            </w:pPr>
            <w:r>
              <w:rPr>
                <w:rFonts w:ascii="맑은 고딕" w:hAnsi="맑은 고딕" w:eastAsia="맑은 고딕"/>
                <w:b w:val="0"/>
                <w:color w:val="1A1A1A"/>
                <w:sz w:val="19"/>
              </w:rPr>
              <w:t>macro F1</w:t>
            </w:r>
          </w:p>
        </w:tc>
        <w:tc>
          <w:tcPr>
            <w:tcW w:type="dxa" w:w="1701"/>
          </w:tcPr>
          <w:p>
            <w:pPr>
              <w:spacing w:line="240" w:lineRule="auto" w:after="40"/>
              <w:jc w:val="center"/>
            </w:pPr>
            <w:r>
              <w:rPr>
                <w:rFonts w:ascii="맑은 고딕" w:hAnsi="맑은 고딕" w:eastAsia="맑은 고딕"/>
                <w:b w:val="0"/>
                <w:color w:val="1A1A1A"/>
                <w:sz w:val="19"/>
              </w:rPr>
              <w:t>0.2633</w:t>
            </w:r>
          </w:p>
        </w:tc>
        <w:tc>
          <w:tcPr>
            <w:tcW w:type="dxa" w:w="4535"/>
          </w:tcPr>
          <w:p>
            <w:pPr>
              <w:spacing w:line="240" w:lineRule="auto" w:after="40"/>
              <w:jc w:val="center"/>
            </w:pPr>
            <w:r>
              <w:rPr>
                <w:rFonts w:ascii="맑은 고딕" w:hAnsi="맑은 고딕" w:eastAsia="맑은 고딕"/>
                <w:b w:val="0"/>
                <w:color w:val="1A1A1A"/>
                <w:sz w:val="19"/>
              </w:rPr>
              <w:t>희귀 클래스 반영 (5.4 참조)</w:t>
            </w:r>
          </w:p>
        </w:tc>
      </w:tr>
      <w:tr>
        <w:tc>
          <w:tcPr>
            <w:tcW w:type="dxa" w:w="2268"/>
          </w:tcPr>
          <w:p>
            <w:pPr>
              <w:spacing w:line="240" w:lineRule="auto" w:after="40"/>
              <w:jc w:val="left"/>
            </w:pPr>
            <w:r>
              <w:rPr>
                <w:rFonts w:ascii="맑은 고딕" w:hAnsi="맑은 고딕" w:eastAsia="맑은 고딕"/>
                <w:b w:val="0"/>
                <w:color w:val="1A1A1A"/>
                <w:sz w:val="19"/>
              </w:rPr>
              <w:t>정확도</w:t>
            </w:r>
          </w:p>
        </w:tc>
        <w:tc>
          <w:tcPr>
            <w:tcW w:type="dxa" w:w="1701"/>
          </w:tcPr>
          <w:p>
            <w:pPr>
              <w:spacing w:line="240" w:lineRule="auto" w:after="40"/>
              <w:jc w:val="center"/>
            </w:pPr>
            <w:r>
              <w:rPr>
                <w:rFonts w:ascii="맑은 고딕" w:hAnsi="맑은 고딕" w:eastAsia="맑은 고딕"/>
                <w:b w:val="0"/>
                <w:color w:val="1A1A1A"/>
                <w:sz w:val="19"/>
              </w:rPr>
              <w:t>57.48%</w:t>
            </w:r>
          </w:p>
        </w:tc>
        <w:tc>
          <w:tcPr>
            <w:tcW w:type="dxa" w:w="4535"/>
          </w:tcPr>
          <w:p>
            <w:pPr>
              <w:spacing w:line="240" w:lineRule="auto" w:after="40"/>
              <w:jc w:val="center"/>
            </w:pPr>
            <w:r>
              <w:rPr>
                <w:rFonts w:ascii="맑은 고딕" w:hAnsi="맑은 고딕" w:eastAsia="맑은 고딕"/>
                <w:b w:val="0"/>
                <w:color w:val="1A1A1A"/>
                <w:sz w:val="19"/>
              </w:rPr>
              <w:t>참고 지표</w:t>
            </w:r>
          </w:p>
        </w:tc>
      </w:tr>
      <w:tr>
        <w:tc>
          <w:tcPr>
            <w:tcW w:type="dxa" w:w="2268"/>
          </w:tcPr>
          <w:p>
            <w:pPr>
              <w:spacing w:line="240" w:lineRule="auto" w:after="40"/>
              <w:jc w:val="left"/>
            </w:pPr>
            <w:r>
              <w:rPr>
                <w:rFonts w:ascii="맑은 고딕" w:hAnsi="맑은 고딕" w:eastAsia="맑은 고딕"/>
                <w:b w:val="0"/>
                <w:color w:val="1A1A1A"/>
                <w:sz w:val="19"/>
              </w:rPr>
              <w:t>ECE</w:t>
            </w:r>
          </w:p>
        </w:tc>
        <w:tc>
          <w:tcPr>
            <w:tcW w:type="dxa" w:w="1701"/>
          </w:tcPr>
          <w:p>
            <w:pPr>
              <w:spacing w:line="240" w:lineRule="auto" w:after="40"/>
              <w:jc w:val="center"/>
            </w:pPr>
            <w:r>
              <w:rPr>
                <w:rFonts w:ascii="맑은 고딕" w:hAnsi="맑은 고딕" w:eastAsia="맑은 고딕"/>
                <w:b w:val="0"/>
                <w:color w:val="1A1A1A"/>
                <w:sz w:val="19"/>
              </w:rPr>
              <w:t>0.0084</w:t>
            </w:r>
          </w:p>
        </w:tc>
        <w:tc>
          <w:tcPr>
            <w:tcW w:type="dxa" w:w="4535"/>
          </w:tcPr>
          <w:p>
            <w:pPr>
              <w:spacing w:line="240" w:lineRule="auto" w:after="40"/>
              <w:jc w:val="center"/>
            </w:pPr>
            <w:r>
              <w:rPr>
                <w:rFonts w:ascii="맑은 고딕" w:hAnsi="맑은 고딕" w:eastAsia="맑은 고딕"/>
                <w:b w:val="0"/>
                <w:color w:val="1A1A1A"/>
                <w:sz w:val="19"/>
              </w:rPr>
              <w:t>캘리브레이션 오차 (5.3 참조)</w:t>
            </w:r>
          </w:p>
        </w:tc>
      </w:tr>
    </w:tbl>
    <w:p>
      <w:pPr>
        <w:spacing w:before="60" w:after="240" w:line="276" w:lineRule="auto"/>
        <w:jc w:val="center"/>
      </w:pPr>
      <w:r>
        <w:rPr>
          <w:rFonts w:ascii="맑은 고딕" w:hAnsi="맑은 고딕" w:eastAsia="맑은 고딕"/>
          <w:b w:val="0"/>
          <w:color w:val="666666"/>
          <w:sz w:val="18"/>
        </w:rPr>
        <w:t>표 3. 2025 시즌 홀드아웃 성능.</w:t>
      </w:r>
    </w:p>
    <w:p>
      <w:pPr>
        <w:spacing w:after="120"/>
        <w:ind w:firstLine="227"/>
      </w:pPr>
      <w:r>
        <w:rPr>
          <w:rFonts w:ascii="맑은 고딕" w:hAnsi="맑은 고딕" w:eastAsia="맑은 고딕"/>
          <w:b w:val="0"/>
          <w:i w:val="0"/>
          <w:color w:val="1A1A1A"/>
          <w:sz w:val="21"/>
        </w:rPr>
        <w:t xml:space="preserve">초기 보고서의 67.52%와 본 결과의 57.48%는 </w:t>
      </w:r>
      <w:r>
        <w:rPr>
          <w:rFonts w:ascii="맑은 고딕" w:hAnsi="맑은 고딕" w:eastAsia="맑은 고딕"/>
          <w:b/>
          <w:i w:val="0"/>
          <w:color w:val="1A1A1A"/>
          <w:sz w:val="21"/>
        </w:rPr>
        <w:t>비교 대상이 아니다.</w:t>
      </w:r>
      <w:r>
        <w:rPr>
          <w:rFonts w:ascii="맑은 고딕" w:hAnsi="맑은 고딕" w:eastAsia="맑은 고딕"/>
          <w:b w:val="0"/>
          <w:i w:val="0"/>
          <w:color w:val="1A1A1A"/>
          <w:sz w:val="21"/>
        </w:rPr>
        <w:t xml:space="preserve"> 전자는 미래 정보 누수를 포함하고, 카운트에서 파생되는 strikeout·walk를 클래스로 포함하며, 시범경기가 섞여 있고, 검증셋이 학습셋과 6/8을 공유한 상태에서 측정되었다. 동일한 지표명을 공유할 뿐 측정 대상이 서로 다르다.</w:t>
      </w:r>
    </w:p>
    <w:p>
      <w:pPr>
        <w:spacing w:before="200" w:after="120"/>
      </w:pPr>
      <w:r>
        <w:rPr>
          <w:rFonts w:ascii="맑은 고딕" w:hAnsi="맑은 고딕" w:eastAsia="맑은 고딕"/>
          <w:b/>
          <w:color w:val="1C5CAB"/>
          <w:sz w:val="25"/>
        </w:rPr>
        <w:t>5.3 캘리브레이션</w:t>
      </w:r>
    </w:p>
    <w:p>
      <w:pPr>
        <w:spacing w:after="120"/>
        <w:ind w:firstLine="227"/>
      </w:pPr>
      <w:r>
        <w:rPr>
          <w:rFonts w:ascii="맑은 고딕" w:hAnsi="맑은 고딕" w:eastAsia="맑은 고딕"/>
          <w:b w:val="0"/>
          <w:i w:val="0"/>
          <w:color w:val="1A1A1A"/>
          <w:sz w:val="21"/>
        </w:rPr>
        <w:t xml:space="preserve">예측 확률의 정직성을 확인하기 위해 신뢰도 보정 오차(ECE)를 측정하고, 검증셋에서 temperature scaling 계수를 적합하였다. ECE는 0.0084, 적합된 temperature는 1.070였다. </w:t>
      </w:r>
      <w:r>
        <w:rPr>
          <w:rFonts w:ascii="맑은 고딕" w:hAnsi="맑은 고딕" w:eastAsia="맑은 고딕"/>
          <w:b/>
          <w:i w:val="0"/>
          <w:color w:val="1A1A1A"/>
          <w:sz w:val="21"/>
        </w:rPr>
        <w:t>T가 1에 근접한다는 것은 모델이 이미 보정되어 있어 추가 보정이 불필요함을 뜻한다.</w:t>
      </w:r>
      <w:r>
        <w:rPr>
          <w:rFonts w:ascii="맑은 고딕" w:hAnsi="맑은 고딕" w:eastAsia="맑은 고딕"/>
          <w:b w:val="0"/>
          <w:i w:val="0"/>
          <w:color w:val="1A1A1A"/>
          <w:sz w:val="21"/>
        </w:rPr>
        <w:t xml:space="preserve"> 실제로 보정을 적용해도 log-loss는 1.1259에서 1.1248로 거의 변하지 않았다.</w:t>
      </w:r>
    </w:p>
    <w:p>
      <w:pPr>
        <w:spacing w:after="120"/>
        <w:ind w:firstLine="227"/>
      </w:pPr>
      <w:r>
        <w:rPr>
          <w:rFonts w:ascii="맑은 고딕" w:hAnsi="맑은 고딕" w:eastAsia="맑은 고딕"/>
          <w:b w:val="0"/>
          <w:i w:val="0"/>
          <w:color w:val="1A1A1A"/>
          <w:sz w:val="21"/>
        </w:rPr>
        <w:t>이는 4.4의 설계 선택에 대한 직접적인 근거다. 초기 구현이 temperature 5.0을 손으로 고정해야 했던 것은 이중 보정으로 왜곡된 확률을 가리기 위함이었고, 원인을 제거하자 보정 자체가 필요 없어졌다. 화면에 표시되는 확률이 실제 빈도와 일치하므로, 추천 점수의 기대 실점 계산도 신뢰할 수 있다.</w:t>
      </w:r>
    </w:p>
    <w:p>
      <w:pPr>
        <w:jc w:val="center"/>
      </w:pPr>
      <w:r>
        <w:drawing>
          <wp:inline xmlns:a="http://schemas.openxmlformats.org/drawingml/2006/main" xmlns:pic="http://schemas.openxmlformats.org/drawingml/2006/picture">
            <wp:extent cx="3780000" cy="2471538"/>
            <wp:docPr id="4" name="Picture 4"/>
            <wp:cNvGraphicFramePr>
              <a:graphicFrameLocks noChangeAspect="1"/>
            </wp:cNvGraphicFramePr>
            <a:graphic>
              <a:graphicData uri="http://schemas.openxmlformats.org/drawingml/2006/picture">
                <pic:pic>
                  <pic:nvPicPr>
                    <pic:cNvPr id="0" name="fig5_calibration.png"/>
                    <pic:cNvPicPr/>
                  </pic:nvPicPr>
                  <pic:blipFill>
                    <a:blip r:embed="rId12"/>
                    <a:stretch>
                      <a:fillRect/>
                    </a:stretch>
                  </pic:blipFill>
                  <pic:spPr>
                    <a:xfrm>
                      <a:off x="0" y="0"/>
                      <a:ext cx="3780000" cy="2471538"/>
                    </a:xfrm>
                    <a:prstGeom prst="rect"/>
                  </pic:spPr>
                </pic:pic>
              </a:graphicData>
            </a:graphic>
          </wp:inline>
        </w:drawing>
      </w:r>
    </w:p>
    <w:p>
      <w:pPr>
        <w:spacing w:before="60" w:after="240" w:line="276" w:lineRule="auto"/>
        <w:jc w:val="center"/>
      </w:pPr>
      <w:r>
        <w:rPr>
          <w:rFonts w:ascii="맑은 고딕" w:hAnsi="맑은 고딕" w:eastAsia="맑은 고딕"/>
          <w:b w:val="0"/>
          <w:color w:val="666666"/>
          <w:sz w:val="18"/>
        </w:rPr>
        <w:t>그림 4. 캘리브레이션 곡선. 대각선에 가까울수록 예측 확률이 실제 빈도와 일치한다.</w:t>
      </w:r>
    </w:p>
    <w:p>
      <w:pPr>
        <w:spacing w:before="200" w:after="120"/>
      </w:pPr>
      <w:r>
        <w:rPr>
          <w:rFonts w:ascii="맑은 고딕" w:hAnsi="맑은 고딕" w:eastAsia="맑은 고딕"/>
          <w:b/>
          <w:color w:val="1C5CAB"/>
          <w:sz w:val="25"/>
        </w:rPr>
        <w:t>5.4 클래스별 성능과 설계상의 맞바꿈</w:t>
      </w:r>
    </w:p>
    <w:tbl>
      <w:tblPr>
        <w:tblStyle w:val="TableGrid"/>
        <w:tblW w:type="auto" w:w="0"/>
        <w:jc w:val="center"/>
        <w:tblLook w:firstColumn="1" w:firstRow="1" w:lastColumn="0" w:lastRow="0" w:noHBand="0" w:noVBand="1" w:val="04A0"/>
      </w:tblPr>
      <w:tblGrid>
        <w:gridCol w:w="1549"/>
        <w:gridCol w:w="1549"/>
        <w:gridCol w:w="1549"/>
        <w:gridCol w:w="1549"/>
        <w:gridCol w:w="1549"/>
        <w:gridCol w:w="1549"/>
      </w:tblGrid>
      <w:tr>
        <w:tc>
          <w:tcPr>
            <w:tcW w:type="dxa" w:w="1928"/>
          </w:tcPr>
          <w:p>
            <w:pPr>
              <w:spacing w:line="240" w:lineRule="auto" w:after="40"/>
              <w:jc w:val="center"/>
            </w:pPr>
            <w:r/>
            <w:r>
              <w:rPr>
                <w:rFonts w:ascii="맑은 고딕" w:hAnsi="맑은 고딕" w:eastAsia="맑은 고딕"/>
                <w:b/>
                <w:color w:val="1A1A1A"/>
                <w:sz w:val="19"/>
              </w:rPr>
              <w:t>클래스</w:t>
            </w:r>
          </w:p>
        </w:tc>
        <w:tc>
          <w:tcPr>
            <w:tcW w:type="dxa" w:w="1474"/>
          </w:tcPr>
          <w:p>
            <w:pPr>
              <w:spacing w:line="240" w:lineRule="auto" w:after="40"/>
              <w:jc w:val="center"/>
            </w:pPr>
            <w:r/>
            <w:r>
              <w:rPr>
                <w:rFonts w:ascii="맑은 고딕" w:hAnsi="맑은 고딕" w:eastAsia="맑은 고딕"/>
                <w:b/>
                <w:color w:val="1A1A1A"/>
                <w:sz w:val="19"/>
              </w:rPr>
              <w:t>표본</w:t>
            </w:r>
          </w:p>
        </w:tc>
        <w:tc>
          <w:tcPr>
            <w:tcW w:type="dxa" w:w="1247"/>
          </w:tcPr>
          <w:p>
            <w:pPr>
              <w:spacing w:line="240" w:lineRule="auto" w:after="40"/>
              <w:jc w:val="center"/>
            </w:pPr>
            <w:r/>
            <w:r>
              <w:rPr>
                <w:rFonts w:ascii="맑은 고딕" w:hAnsi="맑은 고딕" w:eastAsia="맑은 고딕"/>
                <w:b/>
                <w:color w:val="1A1A1A"/>
                <w:sz w:val="19"/>
              </w:rPr>
              <w:t>정밀도</w:t>
            </w:r>
          </w:p>
        </w:tc>
        <w:tc>
          <w:tcPr>
            <w:tcW w:type="dxa" w:w="1247"/>
          </w:tcPr>
          <w:p>
            <w:pPr>
              <w:spacing w:line="240" w:lineRule="auto" w:after="40"/>
              <w:jc w:val="center"/>
            </w:pPr>
            <w:r/>
            <w:r>
              <w:rPr>
                <w:rFonts w:ascii="맑은 고딕" w:hAnsi="맑은 고딕" w:eastAsia="맑은 고딕"/>
                <w:b/>
                <w:color w:val="1A1A1A"/>
                <w:sz w:val="19"/>
              </w:rPr>
              <w:t>재현율</w:t>
            </w:r>
          </w:p>
        </w:tc>
        <w:tc>
          <w:tcPr>
            <w:tcW w:type="dxa" w:w="1247"/>
          </w:tcPr>
          <w:p>
            <w:pPr>
              <w:spacing w:line="240" w:lineRule="auto" w:after="40"/>
              <w:jc w:val="center"/>
            </w:pPr>
            <w:r/>
            <w:r>
              <w:rPr>
                <w:rFonts w:ascii="맑은 고딕" w:hAnsi="맑은 고딕" w:eastAsia="맑은 고딕"/>
                <w:b/>
                <w:color w:val="1A1A1A"/>
                <w:sz w:val="19"/>
              </w:rPr>
              <w:t>F1</w:t>
            </w:r>
          </w:p>
        </w:tc>
        <w:tc>
          <w:tcPr>
            <w:tcW w:type="dxa" w:w="1247"/>
          </w:tcPr>
          <w:p>
            <w:pPr>
              <w:spacing w:line="240" w:lineRule="auto" w:after="40"/>
              <w:jc w:val="center"/>
            </w:pPr>
            <w:r/>
            <w:r>
              <w:rPr>
                <w:rFonts w:ascii="맑은 고딕" w:hAnsi="맑은 고딕" w:eastAsia="맑은 고딕"/>
                <w:b/>
                <w:color w:val="1A1A1A"/>
                <w:sz w:val="19"/>
              </w:rPr>
              <w:t>AUC</w:t>
            </w:r>
          </w:p>
        </w:tc>
      </w:tr>
      <w:tr>
        <w:tc>
          <w:tcPr>
            <w:tcW w:type="dxa" w:w="1928"/>
          </w:tcPr>
          <w:p>
            <w:pPr>
              <w:spacing w:line="240" w:lineRule="auto" w:after="40"/>
              <w:jc w:val="left"/>
            </w:pPr>
            <w:r>
              <w:rPr>
                <w:rFonts w:ascii="맑은 고딕" w:hAnsi="맑은 고딕" w:eastAsia="맑은 고딕"/>
                <w:b w:val="0"/>
                <w:color w:val="1A1A1A"/>
                <w:sz w:val="19"/>
              </w:rPr>
              <w:t>볼</w:t>
            </w:r>
          </w:p>
        </w:tc>
        <w:tc>
          <w:tcPr>
            <w:tcW w:type="dxa" w:w="1474"/>
          </w:tcPr>
          <w:p>
            <w:pPr>
              <w:spacing w:line="240" w:lineRule="auto" w:after="40"/>
              <w:jc w:val="center"/>
            </w:pPr>
            <w:r>
              <w:rPr>
                <w:rFonts w:ascii="맑은 고딕" w:hAnsi="맑은 고딕" w:eastAsia="맑은 고딕"/>
                <w:b w:val="0"/>
                <w:color w:val="1A1A1A"/>
                <w:sz w:val="19"/>
              </w:rPr>
              <w:t>255,753</w:t>
            </w:r>
          </w:p>
        </w:tc>
        <w:tc>
          <w:tcPr>
            <w:tcW w:type="dxa" w:w="1247"/>
          </w:tcPr>
          <w:p>
            <w:pPr>
              <w:spacing w:line="240" w:lineRule="auto" w:after="40"/>
              <w:jc w:val="center"/>
            </w:pPr>
            <w:r>
              <w:rPr>
                <w:rFonts w:ascii="맑은 고딕" w:hAnsi="맑은 고딕" w:eastAsia="맑은 고딕"/>
                <w:b w:val="0"/>
                <w:color w:val="1A1A1A"/>
                <w:sz w:val="19"/>
              </w:rPr>
              <w:t>0.788</w:t>
            </w:r>
          </w:p>
        </w:tc>
        <w:tc>
          <w:tcPr>
            <w:tcW w:type="dxa" w:w="1247"/>
          </w:tcPr>
          <w:p>
            <w:pPr>
              <w:spacing w:line="240" w:lineRule="auto" w:after="40"/>
              <w:jc w:val="center"/>
            </w:pPr>
            <w:r>
              <w:rPr>
                <w:rFonts w:ascii="맑은 고딕" w:hAnsi="맑은 고딕" w:eastAsia="맑은 고딕"/>
                <w:b w:val="0"/>
                <w:color w:val="1A1A1A"/>
                <w:sz w:val="19"/>
              </w:rPr>
              <w:t>0.877</w:t>
            </w:r>
          </w:p>
        </w:tc>
        <w:tc>
          <w:tcPr>
            <w:tcW w:type="dxa" w:w="1247"/>
          </w:tcPr>
          <w:p>
            <w:pPr>
              <w:spacing w:line="240" w:lineRule="auto" w:after="40"/>
              <w:jc w:val="center"/>
            </w:pPr>
            <w:r>
              <w:rPr>
                <w:rFonts w:ascii="맑은 고딕" w:hAnsi="맑은 고딕" w:eastAsia="맑은 고딕"/>
                <w:b w:val="0"/>
                <w:color w:val="1A1A1A"/>
                <w:sz w:val="19"/>
              </w:rPr>
              <w:t>0.830</w:t>
            </w:r>
          </w:p>
        </w:tc>
        <w:tc>
          <w:tcPr>
            <w:tcW w:type="dxa" w:w="1247"/>
          </w:tcPr>
          <w:p>
            <w:pPr>
              <w:spacing w:line="240" w:lineRule="auto" w:after="40"/>
              <w:jc w:val="center"/>
            </w:pPr>
            <w:r>
              <w:rPr>
                <w:rFonts w:ascii="맑은 고딕" w:hAnsi="맑은 고딕" w:eastAsia="맑은 고딕"/>
                <w:b w:val="0"/>
                <w:color w:val="1A1A1A"/>
                <w:sz w:val="19"/>
              </w:rPr>
              <w:t>0.951</w:t>
            </w:r>
          </w:p>
        </w:tc>
      </w:tr>
      <w:tr>
        <w:tc>
          <w:tcPr>
            <w:tcW w:type="dxa" w:w="1928"/>
          </w:tcPr>
          <w:p>
            <w:pPr>
              <w:spacing w:line="240" w:lineRule="auto" w:after="40"/>
              <w:jc w:val="left"/>
            </w:pPr>
            <w:r>
              <w:rPr>
                <w:rFonts w:ascii="맑은 고딕" w:hAnsi="맑은 고딕" w:eastAsia="맑은 고딕"/>
                <w:b w:val="0"/>
                <w:color w:val="1A1A1A"/>
                <w:sz w:val="19"/>
              </w:rPr>
              <w:t>루킹 스트라이크</w:t>
            </w:r>
          </w:p>
        </w:tc>
        <w:tc>
          <w:tcPr>
            <w:tcW w:type="dxa" w:w="1474"/>
          </w:tcPr>
          <w:p>
            <w:pPr>
              <w:spacing w:line="240" w:lineRule="auto" w:after="40"/>
              <w:jc w:val="center"/>
            </w:pPr>
            <w:r>
              <w:rPr>
                <w:rFonts w:ascii="맑은 고딕" w:hAnsi="맑은 고딕" w:eastAsia="맑은 고딕"/>
                <w:b w:val="0"/>
                <w:color w:val="1A1A1A"/>
                <w:sz w:val="19"/>
              </w:rPr>
              <w:t>115,670</w:t>
            </w:r>
          </w:p>
        </w:tc>
        <w:tc>
          <w:tcPr>
            <w:tcW w:type="dxa" w:w="1247"/>
          </w:tcPr>
          <w:p>
            <w:pPr>
              <w:spacing w:line="240" w:lineRule="auto" w:after="40"/>
              <w:jc w:val="center"/>
            </w:pPr>
            <w:r>
              <w:rPr>
                <w:rFonts w:ascii="맑은 고딕" w:hAnsi="맑은 고딕" w:eastAsia="맑은 고딕"/>
                <w:b w:val="0"/>
                <w:color w:val="1A1A1A"/>
                <w:sz w:val="19"/>
              </w:rPr>
              <w:t>0.525</w:t>
            </w:r>
          </w:p>
        </w:tc>
        <w:tc>
          <w:tcPr>
            <w:tcW w:type="dxa" w:w="1247"/>
          </w:tcPr>
          <w:p>
            <w:pPr>
              <w:spacing w:line="240" w:lineRule="auto" w:after="40"/>
              <w:jc w:val="center"/>
            </w:pPr>
            <w:r>
              <w:rPr>
                <w:rFonts w:ascii="맑은 고딕" w:hAnsi="맑은 고딕" w:eastAsia="맑은 고딕"/>
                <w:b w:val="0"/>
                <w:color w:val="1A1A1A"/>
                <w:sz w:val="19"/>
              </w:rPr>
              <w:t>0.704</w:t>
            </w:r>
          </w:p>
        </w:tc>
        <w:tc>
          <w:tcPr>
            <w:tcW w:type="dxa" w:w="1247"/>
          </w:tcPr>
          <w:p>
            <w:pPr>
              <w:spacing w:line="240" w:lineRule="auto" w:after="40"/>
              <w:jc w:val="center"/>
            </w:pPr>
            <w:r>
              <w:rPr>
                <w:rFonts w:ascii="맑은 고딕" w:hAnsi="맑은 고딕" w:eastAsia="맑은 고딕"/>
                <w:b w:val="0"/>
                <w:color w:val="1A1A1A"/>
                <w:sz w:val="19"/>
              </w:rPr>
              <w:t>0.601</w:t>
            </w:r>
          </w:p>
        </w:tc>
        <w:tc>
          <w:tcPr>
            <w:tcW w:type="dxa" w:w="1247"/>
          </w:tcPr>
          <w:p>
            <w:pPr>
              <w:spacing w:line="240" w:lineRule="auto" w:after="40"/>
              <w:jc w:val="center"/>
            </w:pPr>
            <w:r>
              <w:rPr>
                <w:rFonts w:ascii="맑은 고딕" w:hAnsi="맑은 고딕" w:eastAsia="맑은 고딕"/>
                <w:b w:val="0"/>
                <w:color w:val="1A1A1A"/>
                <w:sz w:val="19"/>
              </w:rPr>
              <w:t>0.900</w:t>
            </w:r>
          </w:p>
        </w:tc>
      </w:tr>
      <w:tr>
        <w:tc>
          <w:tcPr>
            <w:tcW w:type="dxa" w:w="1928"/>
          </w:tcPr>
          <w:p>
            <w:pPr>
              <w:spacing w:line="240" w:lineRule="auto" w:after="40"/>
              <w:jc w:val="left"/>
            </w:pPr>
            <w:r>
              <w:rPr>
                <w:rFonts w:ascii="맑은 고딕" w:hAnsi="맑은 고딕" w:eastAsia="맑은 고딕"/>
                <w:b w:val="0"/>
                <w:color w:val="1A1A1A"/>
                <w:sz w:val="19"/>
              </w:rPr>
              <w:t>헛스윙 스트라이크</w:t>
            </w:r>
          </w:p>
        </w:tc>
        <w:tc>
          <w:tcPr>
            <w:tcW w:type="dxa" w:w="1474"/>
          </w:tcPr>
          <w:p>
            <w:pPr>
              <w:spacing w:line="240" w:lineRule="auto" w:after="40"/>
              <w:jc w:val="center"/>
            </w:pPr>
            <w:r>
              <w:rPr>
                <w:rFonts w:ascii="맑은 고딕" w:hAnsi="맑은 고딕" w:eastAsia="맑은 고딕"/>
                <w:b w:val="0"/>
                <w:color w:val="1A1A1A"/>
                <w:sz w:val="19"/>
              </w:rPr>
              <w:t>78,324</w:t>
            </w:r>
          </w:p>
        </w:tc>
        <w:tc>
          <w:tcPr>
            <w:tcW w:type="dxa" w:w="1247"/>
          </w:tcPr>
          <w:p>
            <w:pPr>
              <w:spacing w:line="240" w:lineRule="auto" w:after="40"/>
              <w:jc w:val="center"/>
            </w:pPr>
            <w:r>
              <w:rPr>
                <w:rFonts w:ascii="맑은 고딕" w:hAnsi="맑은 고딕" w:eastAsia="맑은 고딕"/>
                <w:b w:val="0"/>
                <w:color w:val="1A1A1A"/>
                <w:sz w:val="19"/>
              </w:rPr>
              <w:t>0.361</w:t>
            </w:r>
          </w:p>
        </w:tc>
        <w:tc>
          <w:tcPr>
            <w:tcW w:type="dxa" w:w="1247"/>
          </w:tcPr>
          <w:p>
            <w:pPr>
              <w:spacing w:line="240" w:lineRule="auto" w:after="40"/>
              <w:jc w:val="center"/>
            </w:pPr>
            <w:r>
              <w:rPr>
                <w:rFonts w:ascii="맑은 고딕" w:hAnsi="맑은 고딕" w:eastAsia="맑은 고딕"/>
                <w:b w:val="0"/>
                <w:color w:val="1A1A1A"/>
                <w:sz w:val="19"/>
              </w:rPr>
              <w:t>0.182</w:t>
            </w:r>
          </w:p>
        </w:tc>
        <w:tc>
          <w:tcPr>
            <w:tcW w:type="dxa" w:w="1247"/>
          </w:tcPr>
          <w:p>
            <w:pPr>
              <w:spacing w:line="240" w:lineRule="auto" w:after="40"/>
              <w:jc w:val="center"/>
            </w:pPr>
            <w:r>
              <w:rPr>
                <w:rFonts w:ascii="맑은 고딕" w:hAnsi="맑은 고딕" w:eastAsia="맑은 고딕"/>
                <w:b w:val="0"/>
                <w:color w:val="1A1A1A"/>
                <w:sz w:val="19"/>
              </w:rPr>
              <w:t>0.242</w:t>
            </w:r>
          </w:p>
        </w:tc>
        <w:tc>
          <w:tcPr>
            <w:tcW w:type="dxa" w:w="1247"/>
          </w:tcPr>
          <w:p>
            <w:pPr>
              <w:spacing w:line="240" w:lineRule="auto" w:after="40"/>
              <w:jc w:val="center"/>
            </w:pPr>
            <w:r>
              <w:rPr>
                <w:rFonts w:ascii="맑은 고딕" w:hAnsi="맑은 고딕" w:eastAsia="맑은 고딕"/>
                <w:b w:val="0"/>
                <w:color w:val="1A1A1A"/>
                <w:sz w:val="19"/>
              </w:rPr>
              <w:t>0.777</w:t>
            </w:r>
          </w:p>
        </w:tc>
      </w:tr>
      <w:tr>
        <w:tc>
          <w:tcPr>
            <w:tcW w:type="dxa" w:w="1928"/>
          </w:tcPr>
          <w:p>
            <w:pPr>
              <w:spacing w:line="240" w:lineRule="auto" w:after="40"/>
              <w:jc w:val="left"/>
            </w:pPr>
            <w:r>
              <w:rPr>
                <w:rFonts w:ascii="맑은 고딕" w:hAnsi="맑은 고딕" w:eastAsia="맑은 고딕"/>
                <w:b w:val="0"/>
                <w:color w:val="1A1A1A"/>
                <w:sz w:val="19"/>
              </w:rPr>
              <w:t>파울</w:t>
            </w:r>
          </w:p>
        </w:tc>
        <w:tc>
          <w:tcPr>
            <w:tcW w:type="dxa" w:w="1474"/>
          </w:tcPr>
          <w:p>
            <w:pPr>
              <w:spacing w:line="240" w:lineRule="auto" w:after="40"/>
              <w:jc w:val="center"/>
            </w:pPr>
            <w:r>
              <w:rPr>
                <w:rFonts w:ascii="맑은 고딕" w:hAnsi="맑은 고딕" w:eastAsia="맑은 고딕"/>
                <w:b w:val="0"/>
                <w:color w:val="1A1A1A"/>
                <w:sz w:val="19"/>
              </w:rPr>
              <w:t>135,954</w:t>
            </w:r>
          </w:p>
        </w:tc>
        <w:tc>
          <w:tcPr>
            <w:tcW w:type="dxa" w:w="1247"/>
          </w:tcPr>
          <w:p>
            <w:pPr>
              <w:spacing w:line="240" w:lineRule="auto" w:after="40"/>
              <w:jc w:val="center"/>
            </w:pPr>
            <w:r>
              <w:rPr>
                <w:rFonts w:ascii="맑은 고딕" w:hAnsi="맑은 고딕" w:eastAsia="맑은 고딕"/>
                <w:b w:val="0"/>
                <w:color w:val="1A1A1A"/>
                <w:sz w:val="19"/>
              </w:rPr>
              <w:t>0.400</w:t>
            </w:r>
          </w:p>
        </w:tc>
        <w:tc>
          <w:tcPr>
            <w:tcW w:type="dxa" w:w="1247"/>
          </w:tcPr>
          <w:p>
            <w:pPr>
              <w:spacing w:line="240" w:lineRule="auto" w:after="40"/>
              <w:jc w:val="center"/>
            </w:pPr>
            <w:r>
              <w:rPr>
                <w:rFonts w:ascii="맑은 고딕" w:hAnsi="맑은 고딕" w:eastAsia="맑은 고딕"/>
                <w:b w:val="0"/>
                <w:color w:val="1A1A1A"/>
                <w:sz w:val="19"/>
              </w:rPr>
              <w:t>0.510</w:t>
            </w:r>
          </w:p>
        </w:tc>
        <w:tc>
          <w:tcPr>
            <w:tcW w:type="dxa" w:w="1247"/>
          </w:tcPr>
          <w:p>
            <w:pPr>
              <w:spacing w:line="240" w:lineRule="auto" w:after="40"/>
              <w:jc w:val="center"/>
            </w:pPr>
            <w:r>
              <w:rPr>
                <w:rFonts w:ascii="맑은 고딕" w:hAnsi="맑은 고딕" w:eastAsia="맑은 고딕"/>
                <w:b w:val="0"/>
                <w:color w:val="1A1A1A"/>
                <w:sz w:val="19"/>
              </w:rPr>
              <w:t>0.448</w:t>
            </w:r>
          </w:p>
        </w:tc>
        <w:tc>
          <w:tcPr>
            <w:tcW w:type="dxa" w:w="1247"/>
          </w:tcPr>
          <w:p>
            <w:pPr>
              <w:spacing w:line="240" w:lineRule="auto" w:after="40"/>
              <w:jc w:val="center"/>
            </w:pPr>
            <w:r>
              <w:rPr>
                <w:rFonts w:ascii="맑은 고딕" w:hAnsi="맑은 고딕" w:eastAsia="맑은 고딕"/>
                <w:b w:val="0"/>
                <w:color w:val="1A1A1A"/>
                <w:sz w:val="19"/>
              </w:rPr>
              <w:t>0.789</w:t>
            </w:r>
          </w:p>
        </w:tc>
      </w:tr>
      <w:tr>
        <w:tc>
          <w:tcPr>
            <w:tcW w:type="dxa" w:w="1928"/>
          </w:tcPr>
          <w:p>
            <w:pPr>
              <w:spacing w:line="240" w:lineRule="auto" w:after="40"/>
              <w:jc w:val="left"/>
            </w:pPr>
            <w:r>
              <w:rPr>
                <w:rFonts w:ascii="맑은 고딕" w:hAnsi="맑은 고딕" w:eastAsia="맑은 고딕"/>
                <w:b w:val="0"/>
                <w:color w:val="1A1A1A"/>
                <w:sz w:val="19"/>
              </w:rPr>
              <w:t>사구</w:t>
            </w:r>
          </w:p>
        </w:tc>
        <w:tc>
          <w:tcPr>
            <w:tcW w:type="dxa" w:w="1474"/>
          </w:tcPr>
          <w:p>
            <w:pPr>
              <w:spacing w:line="240" w:lineRule="auto" w:after="40"/>
              <w:jc w:val="center"/>
            </w:pPr>
            <w:r>
              <w:rPr>
                <w:rFonts w:ascii="맑은 고딕" w:hAnsi="맑은 고딕" w:eastAsia="맑은 고딕"/>
                <w:b w:val="0"/>
                <w:color w:val="1A1A1A"/>
                <w:sz w:val="19"/>
              </w:rPr>
              <w:t>1,928</w:t>
            </w:r>
          </w:p>
        </w:tc>
        <w:tc>
          <w:tcPr>
            <w:tcW w:type="dxa" w:w="1247"/>
          </w:tcPr>
          <w:p>
            <w:pPr>
              <w:spacing w:line="240" w:lineRule="auto" w:after="40"/>
              <w:jc w:val="center"/>
            </w:pPr>
            <w:r>
              <w:rPr>
                <w:rFonts w:ascii="맑은 고딕" w:hAnsi="맑은 고딕" w:eastAsia="맑은 고딕"/>
                <w:b w:val="0"/>
                <w:color w:val="1A1A1A"/>
                <w:sz w:val="19"/>
              </w:rPr>
              <w:t>0.563</w:t>
            </w:r>
          </w:p>
        </w:tc>
        <w:tc>
          <w:tcPr>
            <w:tcW w:type="dxa" w:w="1247"/>
          </w:tcPr>
          <w:p>
            <w:pPr>
              <w:spacing w:line="240" w:lineRule="auto" w:after="40"/>
              <w:jc w:val="center"/>
            </w:pPr>
            <w:r>
              <w:rPr>
                <w:rFonts w:ascii="맑은 고딕" w:hAnsi="맑은 고딕" w:eastAsia="맑은 고딕"/>
                <w:b w:val="0"/>
                <w:color w:val="1A1A1A"/>
                <w:sz w:val="19"/>
              </w:rPr>
              <w:t>0.146</w:t>
            </w:r>
          </w:p>
        </w:tc>
        <w:tc>
          <w:tcPr>
            <w:tcW w:type="dxa" w:w="1247"/>
          </w:tcPr>
          <w:p>
            <w:pPr>
              <w:spacing w:line="240" w:lineRule="auto" w:after="40"/>
              <w:jc w:val="center"/>
            </w:pPr>
            <w:r>
              <w:rPr>
                <w:rFonts w:ascii="맑은 고딕" w:hAnsi="맑은 고딕" w:eastAsia="맑은 고딕"/>
                <w:b w:val="0"/>
                <w:color w:val="1A1A1A"/>
                <w:sz w:val="19"/>
              </w:rPr>
              <w:t>0.232</w:t>
            </w:r>
          </w:p>
        </w:tc>
        <w:tc>
          <w:tcPr>
            <w:tcW w:type="dxa" w:w="1247"/>
          </w:tcPr>
          <w:p>
            <w:pPr>
              <w:spacing w:line="240" w:lineRule="auto" w:after="40"/>
              <w:jc w:val="center"/>
            </w:pPr>
            <w:r>
              <w:rPr>
                <w:rFonts w:ascii="맑은 고딕" w:hAnsi="맑은 고딕" w:eastAsia="맑은 고딕"/>
                <w:b w:val="0"/>
                <w:color w:val="1A1A1A"/>
                <w:sz w:val="19"/>
              </w:rPr>
              <w:t>0.994</w:t>
            </w:r>
          </w:p>
        </w:tc>
      </w:tr>
      <w:tr>
        <w:tc>
          <w:tcPr>
            <w:tcW w:type="dxa" w:w="1928"/>
          </w:tcPr>
          <w:p>
            <w:pPr>
              <w:spacing w:line="240" w:lineRule="auto" w:after="40"/>
              <w:jc w:val="left"/>
            </w:pPr>
            <w:r>
              <w:rPr>
                <w:rFonts w:ascii="맑은 고딕" w:hAnsi="맑은 고딕" w:eastAsia="맑은 고딕"/>
                <w:b w:val="0"/>
                <w:color w:val="1A1A1A"/>
                <w:sz w:val="19"/>
              </w:rPr>
              <w:t>인플레이 아웃</w:t>
            </w:r>
          </w:p>
        </w:tc>
        <w:tc>
          <w:tcPr>
            <w:tcW w:type="dxa" w:w="1474"/>
          </w:tcPr>
          <w:p>
            <w:pPr>
              <w:spacing w:line="240" w:lineRule="auto" w:after="40"/>
              <w:jc w:val="center"/>
            </w:pPr>
            <w:r>
              <w:rPr>
                <w:rFonts w:ascii="맑은 고딕" w:hAnsi="맑은 고딕" w:eastAsia="맑은 고딕"/>
                <w:b w:val="0"/>
                <w:color w:val="1A1A1A"/>
                <w:sz w:val="19"/>
              </w:rPr>
              <w:t>83,352</w:t>
            </w:r>
          </w:p>
        </w:tc>
        <w:tc>
          <w:tcPr>
            <w:tcW w:type="dxa" w:w="1247"/>
          </w:tcPr>
          <w:p>
            <w:pPr>
              <w:spacing w:line="240" w:lineRule="auto" w:after="40"/>
              <w:jc w:val="center"/>
            </w:pPr>
            <w:r>
              <w:rPr>
                <w:rFonts w:ascii="맑은 고딕" w:hAnsi="맑은 고딕" w:eastAsia="맑은 고딕"/>
                <w:b w:val="0"/>
                <w:color w:val="1A1A1A"/>
                <w:sz w:val="19"/>
              </w:rPr>
              <w:t>0.336</w:t>
            </w:r>
          </w:p>
        </w:tc>
        <w:tc>
          <w:tcPr>
            <w:tcW w:type="dxa" w:w="1247"/>
          </w:tcPr>
          <w:p>
            <w:pPr>
              <w:spacing w:line="240" w:lineRule="auto" w:after="40"/>
              <w:jc w:val="center"/>
            </w:pPr>
            <w:r>
              <w:rPr>
                <w:rFonts w:ascii="맑은 고딕" w:hAnsi="맑은 고딕" w:eastAsia="맑은 고딕"/>
                <w:b w:val="0"/>
                <w:color w:val="1A1A1A"/>
                <w:sz w:val="19"/>
              </w:rPr>
              <w:t>0.239</w:t>
            </w:r>
          </w:p>
        </w:tc>
        <w:tc>
          <w:tcPr>
            <w:tcW w:type="dxa" w:w="1247"/>
          </w:tcPr>
          <w:p>
            <w:pPr>
              <w:spacing w:line="240" w:lineRule="auto" w:after="40"/>
              <w:jc w:val="center"/>
            </w:pPr>
            <w:r>
              <w:rPr>
                <w:rFonts w:ascii="맑은 고딕" w:hAnsi="맑은 고딕" w:eastAsia="맑은 고딕"/>
                <w:b w:val="0"/>
                <w:color w:val="1A1A1A"/>
                <w:sz w:val="19"/>
              </w:rPr>
              <w:t>0.280</w:t>
            </w:r>
          </w:p>
        </w:tc>
        <w:tc>
          <w:tcPr>
            <w:tcW w:type="dxa" w:w="1247"/>
          </w:tcPr>
          <w:p>
            <w:pPr>
              <w:spacing w:line="240" w:lineRule="auto" w:after="40"/>
              <w:jc w:val="center"/>
            </w:pPr>
            <w:r>
              <w:rPr>
                <w:rFonts w:ascii="맑은 고딕" w:hAnsi="맑은 고딕" w:eastAsia="맑은 고딕"/>
                <w:b w:val="0"/>
                <w:color w:val="1A1A1A"/>
                <w:sz w:val="19"/>
              </w:rPr>
              <w:t>0.798</w:t>
            </w:r>
          </w:p>
        </w:tc>
      </w:tr>
      <w:tr>
        <w:tc>
          <w:tcPr>
            <w:tcW w:type="dxa" w:w="1928"/>
          </w:tcPr>
          <w:p>
            <w:pPr>
              <w:spacing w:line="240" w:lineRule="auto" w:after="40"/>
              <w:jc w:val="left"/>
            </w:pPr>
            <w:r>
              <w:rPr>
                <w:rFonts w:ascii="맑은 고딕" w:hAnsi="맑은 고딕" w:eastAsia="맑은 고딕"/>
                <w:b w:val="0"/>
                <w:color w:val="1A1A1A"/>
                <w:sz w:val="19"/>
              </w:rPr>
              <w:t>단타</w:t>
            </w:r>
          </w:p>
        </w:tc>
        <w:tc>
          <w:tcPr>
            <w:tcW w:type="dxa" w:w="1474"/>
          </w:tcPr>
          <w:p>
            <w:pPr>
              <w:spacing w:line="240" w:lineRule="auto" w:after="40"/>
              <w:jc w:val="center"/>
            </w:pPr>
            <w:r>
              <w:rPr>
                <w:rFonts w:ascii="맑은 고딕" w:hAnsi="맑은 고딕" w:eastAsia="맑은 고딕"/>
                <w:b w:val="0"/>
                <w:color w:val="1A1A1A"/>
                <w:sz w:val="19"/>
              </w:rPr>
              <w:t>27,512</w:t>
            </w:r>
          </w:p>
        </w:tc>
        <w:tc>
          <w:tcPr>
            <w:tcW w:type="dxa" w:w="1247"/>
          </w:tcPr>
          <w:p>
            <w:pPr>
              <w:spacing w:line="240" w:lineRule="auto" w:after="40"/>
              <w:jc w:val="center"/>
            </w:pPr>
            <w:r>
              <w:rPr>
                <w:rFonts w:ascii="맑은 고딕" w:hAnsi="맑은 고딕" w:eastAsia="맑은 고딕"/>
                <w:b w:val="0"/>
                <w:color w:val="1A1A1A"/>
                <w:sz w:val="19"/>
              </w:rPr>
              <w:t>0.000</w:t>
            </w:r>
          </w:p>
        </w:tc>
        <w:tc>
          <w:tcPr>
            <w:tcW w:type="dxa" w:w="1247"/>
          </w:tcPr>
          <w:p>
            <w:pPr>
              <w:spacing w:line="240" w:lineRule="auto" w:after="40"/>
              <w:jc w:val="center"/>
            </w:pPr>
            <w:r>
              <w:rPr>
                <w:rFonts w:ascii="맑은 고딕" w:hAnsi="맑은 고딕" w:eastAsia="맑은 고딕"/>
                <w:b w:val="0"/>
                <w:color w:val="1A1A1A"/>
                <w:sz w:val="19"/>
              </w:rPr>
              <w:t>0.000</w:t>
            </w:r>
          </w:p>
        </w:tc>
        <w:tc>
          <w:tcPr>
            <w:tcW w:type="dxa" w:w="1247"/>
          </w:tcPr>
          <w:p>
            <w:pPr>
              <w:spacing w:line="240" w:lineRule="auto" w:after="40"/>
              <w:jc w:val="center"/>
            </w:pPr>
            <w:r>
              <w:rPr>
                <w:rFonts w:ascii="맑은 고딕" w:hAnsi="맑은 고딕" w:eastAsia="맑은 고딕"/>
                <w:b w:val="0"/>
                <w:color w:val="1A1A1A"/>
                <w:sz w:val="19"/>
              </w:rPr>
              <w:t>0.000</w:t>
            </w:r>
          </w:p>
        </w:tc>
        <w:tc>
          <w:tcPr>
            <w:tcW w:type="dxa" w:w="1247"/>
          </w:tcPr>
          <w:p>
            <w:pPr>
              <w:spacing w:line="240" w:lineRule="auto" w:after="40"/>
              <w:jc w:val="center"/>
            </w:pPr>
            <w:r>
              <w:rPr>
                <w:rFonts w:ascii="맑은 고딕" w:hAnsi="맑은 고딕" w:eastAsia="맑은 고딕"/>
                <w:b w:val="0"/>
                <w:color w:val="1A1A1A"/>
                <w:sz w:val="19"/>
              </w:rPr>
              <w:t>0.785</w:t>
            </w:r>
          </w:p>
        </w:tc>
      </w:tr>
      <w:tr>
        <w:tc>
          <w:tcPr>
            <w:tcW w:type="dxa" w:w="1928"/>
          </w:tcPr>
          <w:p>
            <w:pPr>
              <w:spacing w:line="240" w:lineRule="auto" w:after="40"/>
              <w:jc w:val="left"/>
            </w:pPr>
            <w:r>
              <w:rPr>
                <w:rFonts w:ascii="맑은 고딕" w:hAnsi="맑은 고딕" w:eastAsia="맑은 고딕"/>
                <w:b w:val="0"/>
                <w:color w:val="1A1A1A"/>
                <w:sz w:val="19"/>
              </w:rPr>
              <w:t>2루타</w:t>
            </w:r>
          </w:p>
        </w:tc>
        <w:tc>
          <w:tcPr>
            <w:tcW w:type="dxa" w:w="1474"/>
          </w:tcPr>
          <w:p>
            <w:pPr>
              <w:spacing w:line="240" w:lineRule="auto" w:after="40"/>
              <w:jc w:val="center"/>
            </w:pPr>
            <w:r>
              <w:rPr>
                <w:rFonts w:ascii="맑은 고딕" w:hAnsi="맑은 고딕" w:eastAsia="맑은 고딕"/>
                <w:b w:val="0"/>
                <w:color w:val="1A1A1A"/>
                <w:sz w:val="19"/>
              </w:rPr>
              <w:t>7,745</w:t>
            </w:r>
          </w:p>
        </w:tc>
        <w:tc>
          <w:tcPr>
            <w:tcW w:type="dxa" w:w="1247"/>
          </w:tcPr>
          <w:p>
            <w:pPr>
              <w:spacing w:line="240" w:lineRule="auto" w:after="40"/>
              <w:jc w:val="center"/>
            </w:pPr>
            <w:r>
              <w:rPr>
                <w:rFonts w:ascii="맑은 고딕" w:hAnsi="맑은 고딕" w:eastAsia="맑은 고딕"/>
                <w:b w:val="0"/>
                <w:color w:val="1A1A1A"/>
                <w:sz w:val="19"/>
              </w:rPr>
              <w:t>0.000</w:t>
            </w:r>
          </w:p>
        </w:tc>
        <w:tc>
          <w:tcPr>
            <w:tcW w:type="dxa" w:w="1247"/>
          </w:tcPr>
          <w:p>
            <w:pPr>
              <w:spacing w:line="240" w:lineRule="auto" w:after="40"/>
              <w:jc w:val="center"/>
            </w:pPr>
            <w:r>
              <w:rPr>
                <w:rFonts w:ascii="맑은 고딕" w:hAnsi="맑은 고딕" w:eastAsia="맑은 고딕"/>
                <w:b w:val="0"/>
                <w:color w:val="1A1A1A"/>
                <w:sz w:val="19"/>
              </w:rPr>
              <w:t>0.000</w:t>
            </w:r>
          </w:p>
        </w:tc>
        <w:tc>
          <w:tcPr>
            <w:tcW w:type="dxa" w:w="1247"/>
          </w:tcPr>
          <w:p>
            <w:pPr>
              <w:spacing w:line="240" w:lineRule="auto" w:after="40"/>
              <w:jc w:val="center"/>
            </w:pPr>
            <w:r>
              <w:rPr>
                <w:rFonts w:ascii="맑은 고딕" w:hAnsi="맑은 고딕" w:eastAsia="맑은 고딕"/>
                <w:b w:val="0"/>
                <w:color w:val="1A1A1A"/>
                <w:sz w:val="19"/>
              </w:rPr>
              <w:t>0.000</w:t>
            </w:r>
          </w:p>
        </w:tc>
        <w:tc>
          <w:tcPr>
            <w:tcW w:type="dxa" w:w="1247"/>
          </w:tcPr>
          <w:p>
            <w:pPr>
              <w:spacing w:line="240" w:lineRule="auto" w:after="40"/>
              <w:jc w:val="center"/>
            </w:pPr>
            <w:r>
              <w:rPr>
                <w:rFonts w:ascii="맑은 고딕" w:hAnsi="맑은 고딕" w:eastAsia="맑은 고딕"/>
                <w:b w:val="0"/>
                <w:color w:val="1A1A1A"/>
                <w:sz w:val="19"/>
              </w:rPr>
              <w:t>0.791</w:t>
            </w:r>
          </w:p>
        </w:tc>
      </w:tr>
      <w:tr>
        <w:tc>
          <w:tcPr>
            <w:tcW w:type="dxa" w:w="1928"/>
          </w:tcPr>
          <w:p>
            <w:pPr>
              <w:spacing w:line="240" w:lineRule="auto" w:after="40"/>
              <w:jc w:val="left"/>
            </w:pPr>
            <w:r>
              <w:rPr>
                <w:rFonts w:ascii="맑은 고딕" w:hAnsi="맑은 고딕" w:eastAsia="맑은 고딕"/>
                <w:b w:val="0"/>
                <w:color w:val="1A1A1A"/>
                <w:sz w:val="19"/>
              </w:rPr>
              <w:t>3루타</w:t>
            </w:r>
          </w:p>
        </w:tc>
        <w:tc>
          <w:tcPr>
            <w:tcW w:type="dxa" w:w="1474"/>
          </w:tcPr>
          <w:p>
            <w:pPr>
              <w:spacing w:line="240" w:lineRule="auto" w:after="40"/>
              <w:jc w:val="center"/>
            </w:pPr>
            <w:r>
              <w:rPr>
                <w:rFonts w:ascii="맑은 고딕" w:hAnsi="맑은 고딕" w:eastAsia="맑은 고딕"/>
                <w:b w:val="0"/>
                <w:color w:val="1A1A1A"/>
                <w:sz w:val="19"/>
              </w:rPr>
              <w:t>628</w:t>
            </w:r>
          </w:p>
        </w:tc>
        <w:tc>
          <w:tcPr>
            <w:tcW w:type="dxa" w:w="1247"/>
          </w:tcPr>
          <w:p>
            <w:pPr>
              <w:spacing w:line="240" w:lineRule="auto" w:after="40"/>
              <w:jc w:val="center"/>
            </w:pPr>
            <w:r>
              <w:rPr>
                <w:rFonts w:ascii="맑은 고딕" w:hAnsi="맑은 고딕" w:eastAsia="맑은 고딕"/>
                <w:b w:val="0"/>
                <w:color w:val="1A1A1A"/>
                <w:sz w:val="19"/>
              </w:rPr>
              <w:t>0.000</w:t>
            </w:r>
          </w:p>
        </w:tc>
        <w:tc>
          <w:tcPr>
            <w:tcW w:type="dxa" w:w="1247"/>
          </w:tcPr>
          <w:p>
            <w:pPr>
              <w:spacing w:line="240" w:lineRule="auto" w:after="40"/>
              <w:jc w:val="center"/>
            </w:pPr>
            <w:r>
              <w:rPr>
                <w:rFonts w:ascii="맑은 고딕" w:hAnsi="맑은 고딕" w:eastAsia="맑은 고딕"/>
                <w:b w:val="0"/>
                <w:color w:val="1A1A1A"/>
                <w:sz w:val="19"/>
              </w:rPr>
              <w:t>0.000</w:t>
            </w:r>
          </w:p>
        </w:tc>
        <w:tc>
          <w:tcPr>
            <w:tcW w:type="dxa" w:w="1247"/>
          </w:tcPr>
          <w:p>
            <w:pPr>
              <w:spacing w:line="240" w:lineRule="auto" w:after="40"/>
              <w:jc w:val="center"/>
            </w:pPr>
            <w:r>
              <w:rPr>
                <w:rFonts w:ascii="맑은 고딕" w:hAnsi="맑은 고딕" w:eastAsia="맑은 고딕"/>
                <w:b w:val="0"/>
                <w:color w:val="1A1A1A"/>
                <w:sz w:val="19"/>
              </w:rPr>
              <w:t>0.000</w:t>
            </w:r>
          </w:p>
        </w:tc>
        <w:tc>
          <w:tcPr>
            <w:tcW w:type="dxa" w:w="1247"/>
          </w:tcPr>
          <w:p>
            <w:pPr>
              <w:spacing w:line="240" w:lineRule="auto" w:after="40"/>
              <w:jc w:val="center"/>
            </w:pPr>
            <w:r>
              <w:rPr>
                <w:rFonts w:ascii="맑은 고딕" w:hAnsi="맑은 고딕" w:eastAsia="맑은 고딕"/>
                <w:b w:val="0"/>
                <w:color w:val="1A1A1A"/>
                <w:sz w:val="19"/>
              </w:rPr>
              <w:t>0.791</w:t>
            </w:r>
          </w:p>
        </w:tc>
      </w:tr>
      <w:tr>
        <w:tc>
          <w:tcPr>
            <w:tcW w:type="dxa" w:w="1928"/>
          </w:tcPr>
          <w:p>
            <w:pPr>
              <w:spacing w:line="240" w:lineRule="auto" w:after="40"/>
              <w:jc w:val="left"/>
            </w:pPr>
            <w:r>
              <w:rPr>
                <w:rFonts w:ascii="맑은 고딕" w:hAnsi="맑은 고딕" w:eastAsia="맑은 고딕"/>
                <w:b w:val="0"/>
                <w:color w:val="1A1A1A"/>
                <w:sz w:val="19"/>
              </w:rPr>
              <w:t>홈런</w:t>
            </w:r>
          </w:p>
        </w:tc>
        <w:tc>
          <w:tcPr>
            <w:tcW w:type="dxa" w:w="1474"/>
          </w:tcPr>
          <w:p>
            <w:pPr>
              <w:spacing w:line="240" w:lineRule="auto" w:after="40"/>
              <w:jc w:val="center"/>
            </w:pPr>
            <w:r>
              <w:rPr>
                <w:rFonts w:ascii="맑은 고딕" w:hAnsi="맑은 고딕" w:eastAsia="맑은 고딕"/>
                <w:b w:val="0"/>
                <w:color w:val="1A1A1A"/>
                <w:sz w:val="19"/>
              </w:rPr>
              <w:t>5,650</w:t>
            </w:r>
          </w:p>
        </w:tc>
        <w:tc>
          <w:tcPr>
            <w:tcW w:type="dxa" w:w="1247"/>
          </w:tcPr>
          <w:p>
            <w:pPr>
              <w:spacing w:line="240" w:lineRule="auto" w:after="40"/>
              <w:jc w:val="center"/>
            </w:pPr>
            <w:r>
              <w:rPr>
                <w:rFonts w:ascii="맑은 고딕" w:hAnsi="맑은 고딕" w:eastAsia="맑은 고딕"/>
                <w:b w:val="0"/>
                <w:color w:val="1A1A1A"/>
                <w:sz w:val="19"/>
              </w:rPr>
              <w:t>0.000</w:t>
            </w:r>
          </w:p>
        </w:tc>
        <w:tc>
          <w:tcPr>
            <w:tcW w:type="dxa" w:w="1247"/>
          </w:tcPr>
          <w:p>
            <w:pPr>
              <w:spacing w:line="240" w:lineRule="auto" w:after="40"/>
              <w:jc w:val="center"/>
            </w:pPr>
            <w:r>
              <w:rPr>
                <w:rFonts w:ascii="맑은 고딕" w:hAnsi="맑은 고딕" w:eastAsia="맑은 고딕"/>
                <w:b w:val="0"/>
                <w:color w:val="1A1A1A"/>
                <w:sz w:val="19"/>
              </w:rPr>
              <w:t>0.000</w:t>
            </w:r>
          </w:p>
        </w:tc>
        <w:tc>
          <w:tcPr>
            <w:tcW w:type="dxa" w:w="1247"/>
          </w:tcPr>
          <w:p>
            <w:pPr>
              <w:spacing w:line="240" w:lineRule="auto" w:after="40"/>
              <w:jc w:val="center"/>
            </w:pPr>
            <w:r>
              <w:rPr>
                <w:rFonts w:ascii="맑은 고딕" w:hAnsi="맑은 고딕" w:eastAsia="맑은 고딕"/>
                <w:b w:val="0"/>
                <w:color w:val="1A1A1A"/>
                <w:sz w:val="19"/>
              </w:rPr>
              <w:t>0.000</w:t>
            </w:r>
          </w:p>
        </w:tc>
        <w:tc>
          <w:tcPr>
            <w:tcW w:type="dxa" w:w="1247"/>
          </w:tcPr>
          <w:p>
            <w:pPr>
              <w:spacing w:line="240" w:lineRule="auto" w:after="40"/>
              <w:jc w:val="center"/>
            </w:pPr>
            <w:r>
              <w:rPr>
                <w:rFonts w:ascii="맑은 고딕" w:hAnsi="맑은 고딕" w:eastAsia="맑은 고딕"/>
                <w:b w:val="0"/>
                <w:color w:val="1A1A1A"/>
                <w:sz w:val="19"/>
              </w:rPr>
              <w:t>0.835</w:t>
            </w:r>
          </w:p>
        </w:tc>
      </w:tr>
    </w:tbl>
    <w:p>
      <w:pPr>
        <w:spacing w:before="60" w:after="240" w:line="276" w:lineRule="auto"/>
        <w:jc w:val="center"/>
      </w:pPr>
      <w:r>
        <w:rPr>
          <w:rFonts w:ascii="맑은 고딕" w:hAnsi="맑은 고딕" w:eastAsia="맑은 고딕"/>
          <w:b w:val="0"/>
          <w:color w:val="666666"/>
          <w:sz w:val="18"/>
        </w:rPr>
        <w:t>표 4. 2025 시즌 클래스별 성능.</w:t>
      </w:r>
    </w:p>
    <w:p>
      <w:pPr>
        <w:spacing w:after="120"/>
        <w:ind w:firstLine="227"/>
      </w:pPr>
      <w:r>
        <w:rPr>
          <w:rFonts w:ascii="맑은 고딕" w:hAnsi="맑은 고딕" w:eastAsia="맑은 고딕"/>
          <w:b w:val="0"/>
          <w:i w:val="0"/>
          <w:color w:val="1A1A1A"/>
          <w:sz w:val="21"/>
        </w:rPr>
        <w:t xml:space="preserve">안타 계열(단타·2루타·3루타·홈런)의 재현율이 0이다. 사전 확률이 1~4%인 클래스는 argmax에서 최상위가 되지 못하기 때문이며, macro F1이 낮은 것도 대부분 이 때문이다. 그러나 같은 클래스들의 </w:t>
      </w:r>
      <w:r>
        <w:rPr>
          <w:rFonts w:ascii="맑은 고딕" w:hAnsi="맑은 고딕" w:eastAsia="맑은 고딕"/>
          <w:b/>
          <w:i w:val="0"/>
          <w:color w:val="1A1A1A"/>
          <w:sz w:val="21"/>
        </w:rPr>
        <w:t>AUC는 0.785~0.835로, 순위 매기기는 정상적으로 이루어지고 있다.</w:t>
      </w:r>
      <w:r>
        <w:rPr>
          <w:rFonts w:ascii="맑은 고딕" w:hAnsi="맑은 고딕" w:eastAsia="맑은 고딕"/>
          <w:b w:val="0"/>
          <w:i w:val="0"/>
          <w:color w:val="1A1A1A"/>
          <w:sz w:val="21"/>
        </w:rPr>
        <w:t xml:space="preserve"> 즉 모델은 '어느 투구가 장타로 이어질 가능성이 높은가'를 구분하지만, 그 확률이 다른 클래스를 넘어설 만큼 크지는 않다.</w:t>
      </w:r>
    </w:p>
    <w:p>
      <w:pPr>
        <w:spacing w:after="120"/>
        <w:ind w:firstLine="227"/>
      </w:pPr>
      <w:r>
        <w:rPr>
          <w:rFonts w:ascii="맑은 고딕" w:hAnsi="맑은 고딕" w:eastAsia="맑은 고딕"/>
          <w:b w:val="0"/>
          <w:i w:val="0"/>
          <w:color w:val="1A1A1A"/>
          <w:sz w:val="21"/>
        </w:rPr>
        <w:t xml:space="preserve">이는 의도한 맞바꿈이다. 재현율을 높이려면 오버샘플링이나 클래스 가중을 도입해야 하는데, 그러면 출력 확률이 실제 분포를 벗어나 캘리브레이션이 훼손된다(초기 구현이 정확히 그 상태였다). 본 시스템의 추천 엔진은 argmax가 아니라 </w:t>
      </w:r>
      <w:r>
        <w:rPr>
          <w:rFonts w:ascii="맑은 고딕" w:hAnsi="맑은 고딕" w:eastAsia="맑은 고딕"/>
          <w:b/>
          <w:i w:val="0"/>
          <w:color w:val="1A1A1A"/>
          <w:sz w:val="21"/>
        </w:rPr>
        <w:t>확률 분포 전체를 기대 실점으로 적분</w:t>
      </w:r>
      <w:r>
        <w:rPr>
          <w:rFonts w:ascii="맑은 고딕" w:hAnsi="맑은 고딕" w:eastAsia="맑은 고딕"/>
          <w:b w:val="0"/>
          <w:i w:val="0"/>
          <w:color w:val="1A1A1A"/>
          <w:sz w:val="21"/>
        </w:rPr>
        <w:t>하므로, 여기서는 정직한 확률이 높은 재현율보다 중요하다.</w:t>
      </w:r>
    </w:p>
    <w:p>
      <w:pPr>
        <w:jc w:val="center"/>
      </w:pPr>
      <w:r>
        <w:drawing>
          <wp:inline xmlns:a="http://schemas.openxmlformats.org/drawingml/2006/main" xmlns:pic="http://schemas.openxmlformats.org/drawingml/2006/picture">
            <wp:extent cx="4680000" cy="3075429"/>
            <wp:docPr id="5" name="Picture 5"/>
            <wp:cNvGraphicFramePr>
              <a:graphicFrameLocks noChangeAspect="1"/>
            </wp:cNvGraphicFramePr>
            <a:graphic>
              <a:graphicData uri="http://schemas.openxmlformats.org/drawingml/2006/picture">
                <pic:pic>
                  <pic:nvPicPr>
                    <pic:cNvPr id="0" name="fig6_confusion.png"/>
                    <pic:cNvPicPr/>
                  </pic:nvPicPr>
                  <pic:blipFill>
                    <a:blip r:embed="rId13"/>
                    <a:stretch>
                      <a:fillRect/>
                    </a:stretch>
                  </pic:blipFill>
                  <pic:spPr>
                    <a:xfrm>
                      <a:off x="0" y="0"/>
                      <a:ext cx="4680000" cy="3075429"/>
                    </a:xfrm>
                    <a:prstGeom prst="rect"/>
                  </pic:spPr>
                </pic:pic>
              </a:graphicData>
            </a:graphic>
          </wp:inline>
        </w:drawing>
      </w:r>
    </w:p>
    <w:p>
      <w:pPr>
        <w:spacing w:before="60" w:after="240" w:line="276" w:lineRule="auto"/>
        <w:jc w:val="center"/>
      </w:pPr>
      <w:r>
        <w:rPr>
          <w:rFonts w:ascii="맑은 고딕" w:hAnsi="맑은 고딕" w:eastAsia="맑은 고딕"/>
          <w:b w:val="0"/>
          <w:color w:val="666666"/>
          <w:sz w:val="18"/>
        </w:rPr>
        <w:t>그림 5. 혼동 행렬(행 정규화, 단위 %).</w:t>
      </w:r>
    </w:p>
    <w:p>
      <w:pPr>
        <w:spacing w:before="200" w:after="120"/>
      </w:pPr>
      <w:r>
        <w:rPr>
          <w:rFonts w:ascii="맑은 고딕" w:hAnsi="맑은 고딕" w:eastAsia="맑은 고딕"/>
          <w:b/>
          <w:color w:val="1C5CAB"/>
          <w:sz w:val="25"/>
        </w:rPr>
        <w:t>5.5 어블레이션</w:t>
      </w:r>
    </w:p>
    <w:p>
      <w:pPr>
        <w:spacing w:after="120"/>
        <w:ind w:firstLine="227"/>
      </w:pPr>
      <w:r>
        <w:rPr>
          <w:rFonts w:ascii="맑은 고딕" w:hAnsi="맑은 고딕" w:eastAsia="맑은 고딕"/>
          <w:b w:val="0"/>
          <w:i w:val="0"/>
          <w:color w:val="1A1A1A"/>
          <w:sz w:val="21"/>
        </w:rPr>
        <w:t xml:space="preserve">초기 보고서의 가장 큰 방법론적 약점은 어블레이션의 부재였다. 제안 모델과 베이스라인이 d_model, 레이어 수, 손실 함수, 에폭 수, 학습률까지 모두 달랐으므로 성능 차이를 특정 요소에 귀속시킬 수 없었다. 본 개정에서는 </w:t>
      </w:r>
      <w:r>
        <w:rPr>
          <w:rFonts w:ascii="맑은 고딕" w:hAnsi="맑은 고딕" w:eastAsia="맑은 고딕"/>
          <w:b/>
          <w:i w:val="0"/>
          <w:color w:val="1A1A1A"/>
          <w:sz w:val="21"/>
        </w:rPr>
        <w:t>한 번에 하나의 요소만 변경</w:t>
      </w:r>
      <w:r>
        <w:rPr>
          <w:rFonts w:ascii="맑은 고딕" w:hAnsi="맑은 고딕" w:eastAsia="맑은 고딕"/>
          <w:b w:val="0"/>
          <w:i w:val="0"/>
          <w:color w:val="1A1A1A"/>
          <w:sz w:val="21"/>
        </w:rPr>
        <w:t>하고 나머지 조건을 동일하게 유지하였다.</w:t>
      </w:r>
    </w:p>
    <w:tbl>
      <w:tblPr>
        <w:tblStyle w:val="TableGrid"/>
        <w:tblW w:type="auto" w:w="0"/>
        <w:jc w:val="center"/>
        <w:tblLook w:firstColumn="1" w:firstRow="1" w:lastColumn="0" w:lastRow="0" w:noHBand="0" w:noVBand="1" w:val="04A0"/>
      </w:tblPr>
      <w:tblGrid>
        <w:gridCol w:w="1549"/>
        <w:gridCol w:w="1549"/>
        <w:gridCol w:w="1549"/>
        <w:gridCol w:w="1549"/>
        <w:gridCol w:w="1549"/>
        <w:gridCol w:w="1549"/>
      </w:tblGrid>
      <w:tr>
        <w:tc>
          <w:tcPr>
            <w:tcW w:type="dxa" w:w="2381"/>
          </w:tcPr>
          <w:p>
            <w:pPr>
              <w:spacing w:line="240" w:lineRule="auto" w:after="40"/>
              <w:jc w:val="center"/>
            </w:pPr>
            <w:r/>
            <w:r>
              <w:rPr>
                <w:rFonts w:ascii="맑은 고딕" w:hAnsi="맑은 고딕" w:eastAsia="맑은 고딕"/>
                <w:b/>
                <w:color w:val="1A1A1A"/>
                <w:sz w:val="19"/>
              </w:rPr>
              <w:t>구성</w:t>
            </w:r>
          </w:p>
        </w:tc>
        <w:tc>
          <w:tcPr>
            <w:tcW w:type="dxa" w:w="1361"/>
          </w:tcPr>
          <w:p>
            <w:pPr>
              <w:spacing w:line="240" w:lineRule="auto" w:after="40"/>
              <w:jc w:val="center"/>
            </w:pPr>
            <w:r/>
            <w:r>
              <w:rPr>
                <w:rFonts w:ascii="맑은 고딕" w:hAnsi="맑은 고딕" w:eastAsia="맑은 고딕"/>
                <w:b/>
                <w:color w:val="1A1A1A"/>
                <w:sz w:val="19"/>
              </w:rPr>
              <w:t>log-loss</w:t>
            </w:r>
          </w:p>
        </w:tc>
        <w:tc>
          <w:tcPr>
            <w:tcW w:type="dxa" w:w="1247"/>
          </w:tcPr>
          <w:p>
            <w:pPr>
              <w:spacing w:line="240" w:lineRule="auto" w:after="40"/>
              <w:jc w:val="center"/>
            </w:pPr>
            <w:r/>
            <w:r>
              <w:rPr>
                <w:rFonts w:ascii="맑은 고딕" w:hAnsi="맑은 고딕" w:eastAsia="맑은 고딕"/>
                <w:b/>
                <w:color w:val="1A1A1A"/>
                <w:sz w:val="19"/>
              </w:rPr>
              <w:t>제안 대비</w:t>
            </w:r>
          </w:p>
        </w:tc>
        <w:tc>
          <w:tcPr>
            <w:tcW w:type="dxa" w:w="1361"/>
          </w:tcPr>
          <w:p>
            <w:pPr>
              <w:spacing w:line="240" w:lineRule="auto" w:after="40"/>
              <w:jc w:val="center"/>
            </w:pPr>
            <w:r/>
            <w:r>
              <w:rPr>
                <w:rFonts w:ascii="맑은 고딕" w:hAnsi="맑은 고딕" w:eastAsia="맑은 고딕"/>
                <w:b/>
                <w:color w:val="1A1A1A"/>
                <w:sz w:val="19"/>
              </w:rPr>
              <w:t>macro AUC</w:t>
            </w:r>
          </w:p>
        </w:tc>
        <w:tc>
          <w:tcPr>
            <w:tcW w:type="dxa" w:w="1247"/>
          </w:tcPr>
          <w:p>
            <w:pPr>
              <w:spacing w:line="240" w:lineRule="auto" w:after="40"/>
              <w:jc w:val="center"/>
            </w:pPr>
            <w:r/>
            <w:r>
              <w:rPr>
                <w:rFonts w:ascii="맑은 고딕" w:hAnsi="맑은 고딕" w:eastAsia="맑은 고딕"/>
                <w:b/>
                <w:color w:val="1A1A1A"/>
                <w:sz w:val="19"/>
              </w:rPr>
              <w:t>정확도(%)</w:t>
            </w:r>
          </w:p>
        </w:tc>
        <w:tc>
          <w:tcPr>
            <w:tcW w:type="dxa" w:w="1247"/>
          </w:tcPr>
          <w:p>
            <w:pPr>
              <w:spacing w:line="240" w:lineRule="auto" w:after="40"/>
              <w:jc w:val="center"/>
            </w:pPr>
            <w:r/>
            <w:r>
              <w:rPr>
                <w:rFonts w:ascii="맑은 고딕" w:hAnsi="맑은 고딕" w:eastAsia="맑은 고딕"/>
                <w:b/>
                <w:color w:val="1A1A1A"/>
                <w:sz w:val="19"/>
              </w:rPr>
              <w:t>macro F1</w:t>
            </w:r>
          </w:p>
        </w:tc>
      </w:tr>
      <w:tr>
        <w:tc>
          <w:tcPr>
            <w:tcW w:type="dxa" w:w="2381"/>
          </w:tcPr>
          <w:p>
            <w:pPr>
              <w:spacing w:line="240" w:lineRule="auto" w:after="40"/>
              <w:jc w:val="left"/>
            </w:pPr>
            <w:r>
              <w:rPr>
                <w:rFonts w:ascii="맑은 고딕" w:hAnsi="맑은 고딕" w:eastAsia="맑은 고딕"/>
                <w:b w:val="0"/>
                <w:color w:val="1A1A1A"/>
                <w:sz w:val="19"/>
              </w:rPr>
              <w:t>상태 임베딩 제거</w:t>
            </w:r>
          </w:p>
        </w:tc>
        <w:tc>
          <w:tcPr>
            <w:tcW w:type="dxa" w:w="1361"/>
          </w:tcPr>
          <w:p>
            <w:pPr>
              <w:spacing w:line="240" w:lineRule="auto" w:after="40"/>
              <w:jc w:val="center"/>
            </w:pPr>
            <w:r>
              <w:rPr>
                <w:rFonts w:ascii="맑은 고딕" w:hAnsi="맑은 고딕" w:eastAsia="맑은 고딕"/>
                <w:b w:val="0"/>
                <w:color w:val="1A1A1A"/>
                <w:sz w:val="19"/>
              </w:rPr>
              <w:t>1.1244</w:t>
            </w:r>
          </w:p>
        </w:tc>
        <w:tc>
          <w:tcPr>
            <w:tcW w:type="dxa" w:w="1247"/>
          </w:tcPr>
          <w:p>
            <w:pPr>
              <w:spacing w:line="240" w:lineRule="auto" w:after="40"/>
              <w:jc w:val="center"/>
            </w:pPr>
            <w:r>
              <w:rPr>
                <w:rFonts w:ascii="맑은 고딕" w:hAnsi="맑은 고딕" w:eastAsia="맑은 고딕"/>
                <w:b w:val="0"/>
                <w:color w:val="1A1A1A"/>
                <w:sz w:val="19"/>
              </w:rPr>
              <w:t>-0.0014</w:t>
            </w:r>
          </w:p>
        </w:tc>
        <w:tc>
          <w:tcPr>
            <w:tcW w:type="dxa" w:w="1361"/>
          </w:tcPr>
          <w:p>
            <w:pPr>
              <w:spacing w:line="240" w:lineRule="auto" w:after="40"/>
              <w:jc w:val="center"/>
            </w:pPr>
            <w:r>
              <w:rPr>
                <w:rFonts w:ascii="맑은 고딕" w:hAnsi="맑은 고딕" w:eastAsia="맑은 고딕"/>
                <w:b w:val="0"/>
                <w:color w:val="1A1A1A"/>
                <w:sz w:val="19"/>
              </w:rPr>
              <w:t>0.8412</w:t>
            </w:r>
          </w:p>
        </w:tc>
        <w:tc>
          <w:tcPr>
            <w:tcW w:type="dxa" w:w="1247"/>
          </w:tcPr>
          <w:p>
            <w:pPr>
              <w:spacing w:line="240" w:lineRule="auto" w:after="40"/>
              <w:jc w:val="center"/>
            </w:pPr>
            <w:r>
              <w:rPr>
                <w:rFonts w:ascii="맑은 고딕" w:hAnsi="맑은 고딕" w:eastAsia="맑은 고딕"/>
                <w:b w:val="0"/>
                <w:color w:val="1A1A1A"/>
                <w:sz w:val="19"/>
              </w:rPr>
              <w:t>57.53</w:t>
            </w:r>
          </w:p>
        </w:tc>
        <w:tc>
          <w:tcPr>
            <w:tcW w:type="dxa" w:w="1247"/>
          </w:tcPr>
          <w:p>
            <w:pPr>
              <w:spacing w:line="240" w:lineRule="auto" w:after="40"/>
              <w:jc w:val="center"/>
            </w:pPr>
            <w:r>
              <w:rPr>
                <w:rFonts w:ascii="맑은 고딕" w:hAnsi="맑은 고딕" w:eastAsia="맑은 고딕"/>
                <w:b w:val="0"/>
                <w:color w:val="1A1A1A"/>
                <w:sz w:val="19"/>
              </w:rPr>
              <w:t>0.2573</w:t>
            </w:r>
          </w:p>
        </w:tc>
      </w:tr>
      <w:tr>
        <w:tc>
          <w:tcPr>
            <w:tcW w:type="dxa" w:w="2381"/>
          </w:tcPr>
          <w:p>
            <w:pPr>
              <w:spacing w:line="240" w:lineRule="auto" w:after="40"/>
              <w:jc w:val="left"/>
            </w:pPr>
            <w:r>
              <w:rPr>
                <w:rFonts w:ascii="맑은 고딕" w:hAnsi="맑은 고딕" w:eastAsia="맑은 고딕"/>
                <w:b w:val="0"/>
                <w:color w:val="1A1A1A"/>
                <w:sz w:val="19"/>
              </w:rPr>
              <w:t>시퀀스 길이 10</w:t>
            </w:r>
          </w:p>
        </w:tc>
        <w:tc>
          <w:tcPr>
            <w:tcW w:type="dxa" w:w="1361"/>
          </w:tcPr>
          <w:p>
            <w:pPr>
              <w:spacing w:line="240" w:lineRule="auto" w:after="40"/>
              <w:jc w:val="center"/>
            </w:pPr>
            <w:r>
              <w:rPr>
                <w:rFonts w:ascii="맑은 고딕" w:hAnsi="맑은 고딕" w:eastAsia="맑은 고딕"/>
                <w:b w:val="0"/>
                <w:color w:val="1A1A1A"/>
                <w:sz w:val="19"/>
              </w:rPr>
              <w:t>1.1254</w:t>
            </w:r>
          </w:p>
        </w:tc>
        <w:tc>
          <w:tcPr>
            <w:tcW w:type="dxa" w:w="1247"/>
          </w:tcPr>
          <w:p>
            <w:pPr>
              <w:spacing w:line="240" w:lineRule="auto" w:after="40"/>
              <w:jc w:val="center"/>
            </w:pPr>
            <w:r>
              <w:rPr>
                <w:rFonts w:ascii="맑은 고딕" w:hAnsi="맑은 고딕" w:eastAsia="맑은 고딕"/>
                <w:b w:val="0"/>
                <w:color w:val="1A1A1A"/>
                <w:sz w:val="19"/>
              </w:rPr>
              <w:t>-0.0005</w:t>
            </w:r>
          </w:p>
        </w:tc>
        <w:tc>
          <w:tcPr>
            <w:tcW w:type="dxa" w:w="1361"/>
          </w:tcPr>
          <w:p>
            <w:pPr>
              <w:spacing w:line="240" w:lineRule="auto" w:after="40"/>
              <w:jc w:val="center"/>
            </w:pPr>
            <w:r>
              <w:rPr>
                <w:rFonts w:ascii="맑은 고딕" w:hAnsi="맑은 고딕" w:eastAsia="맑은 고딕"/>
                <w:b w:val="0"/>
                <w:color w:val="1A1A1A"/>
                <w:sz w:val="19"/>
              </w:rPr>
              <w:t>0.8407</w:t>
            </w:r>
          </w:p>
        </w:tc>
        <w:tc>
          <w:tcPr>
            <w:tcW w:type="dxa" w:w="1247"/>
          </w:tcPr>
          <w:p>
            <w:pPr>
              <w:spacing w:line="240" w:lineRule="auto" w:after="40"/>
              <w:jc w:val="center"/>
            </w:pPr>
            <w:r>
              <w:rPr>
                <w:rFonts w:ascii="맑은 고딕" w:hAnsi="맑은 고딕" w:eastAsia="맑은 고딕"/>
                <w:b w:val="0"/>
                <w:color w:val="1A1A1A"/>
                <w:sz w:val="19"/>
              </w:rPr>
              <w:t>57.46</w:t>
            </w:r>
          </w:p>
        </w:tc>
        <w:tc>
          <w:tcPr>
            <w:tcW w:type="dxa" w:w="1247"/>
          </w:tcPr>
          <w:p>
            <w:pPr>
              <w:spacing w:line="240" w:lineRule="auto" w:after="40"/>
              <w:jc w:val="center"/>
            </w:pPr>
            <w:r>
              <w:rPr>
                <w:rFonts w:ascii="맑은 고딕" w:hAnsi="맑은 고딕" w:eastAsia="맑은 고딕"/>
                <w:b w:val="0"/>
                <w:color w:val="1A1A1A"/>
                <w:sz w:val="19"/>
              </w:rPr>
              <w:t>0.2568</w:t>
            </w:r>
          </w:p>
        </w:tc>
      </w:tr>
      <w:tr>
        <w:tc>
          <w:tcPr>
            <w:tcW w:type="dxa" w:w="2381"/>
          </w:tcPr>
          <w:p>
            <w:pPr>
              <w:spacing w:line="240" w:lineRule="auto" w:after="40"/>
              <w:jc w:val="left"/>
            </w:pPr>
            <w:r>
              <w:rPr>
                <w:rFonts w:ascii="맑은 고딕" w:hAnsi="맑은 고딕" w:eastAsia="맑은 고딕"/>
                <w:b/>
                <w:color w:val="1A1A1A"/>
                <w:sz w:val="19"/>
              </w:rPr>
              <w:t>제안 모델 (전체)</w:t>
            </w:r>
          </w:p>
        </w:tc>
        <w:tc>
          <w:tcPr>
            <w:tcW w:type="dxa" w:w="1361"/>
          </w:tcPr>
          <w:p>
            <w:pPr>
              <w:spacing w:line="240" w:lineRule="auto" w:after="40"/>
              <w:jc w:val="center"/>
            </w:pPr>
            <w:r>
              <w:rPr>
                <w:rFonts w:ascii="맑은 고딕" w:hAnsi="맑은 고딕" w:eastAsia="맑은 고딕"/>
                <w:b/>
                <w:color w:val="1A1A1A"/>
                <w:sz w:val="19"/>
              </w:rPr>
              <w:t>1.1259</w:t>
            </w:r>
          </w:p>
        </w:tc>
        <w:tc>
          <w:tcPr>
            <w:tcW w:type="dxa" w:w="1247"/>
          </w:tcPr>
          <w:p>
            <w:pPr>
              <w:spacing w:line="240" w:lineRule="auto" w:after="40"/>
              <w:jc w:val="center"/>
            </w:pPr>
            <w:r>
              <w:rPr>
                <w:rFonts w:ascii="맑은 고딕" w:hAnsi="맑은 고딕" w:eastAsia="맑은 고딕"/>
                <w:b/>
                <w:color w:val="1A1A1A"/>
                <w:sz w:val="19"/>
              </w:rPr>
              <w:t>+0.0000</w:t>
            </w:r>
          </w:p>
        </w:tc>
        <w:tc>
          <w:tcPr>
            <w:tcW w:type="dxa" w:w="1361"/>
          </w:tcPr>
          <w:p>
            <w:pPr>
              <w:spacing w:line="240" w:lineRule="auto" w:after="40"/>
              <w:jc w:val="center"/>
            </w:pPr>
            <w:r>
              <w:rPr>
                <w:rFonts w:ascii="맑은 고딕" w:hAnsi="맑은 고딕" w:eastAsia="맑은 고딕"/>
                <w:b/>
                <w:color w:val="1A1A1A"/>
                <w:sz w:val="19"/>
              </w:rPr>
              <w:t>0.8410</w:t>
            </w:r>
          </w:p>
        </w:tc>
        <w:tc>
          <w:tcPr>
            <w:tcW w:type="dxa" w:w="1247"/>
          </w:tcPr>
          <w:p>
            <w:pPr>
              <w:spacing w:line="240" w:lineRule="auto" w:after="40"/>
              <w:jc w:val="center"/>
            </w:pPr>
            <w:r>
              <w:rPr>
                <w:rFonts w:ascii="맑은 고딕" w:hAnsi="맑은 고딕" w:eastAsia="맑은 고딕"/>
                <w:b/>
                <w:color w:val="1A1A1A"/>
                <w:sz w:val="19"/>
              </w:rPr>
              <w:t>57.48</w:t>
            </w:r>
          </w:p>
        </w:tc>
        <w:tc>
          <w:tcPr>
            <w:tcW w:type="dxa" w:w="1247"/>
          </w:tcPr>
          <w:p>
            <w:pPr>
              <w:spacing w:line="240" w:lineRule="auto" w:after="40"/>
              <w:jc w:val="center"/>
            </w:pPr>
            <w:r>
              <w:rPr>
                <w:rFonts w:ascii="맑은 고딕" w:hAnsi="맑은 고딕" w:eastAsia="맑은 고딕"/>
                <w:b/>
                <w:color w:val="1A1A1A"/>
                <w:sz w:val="19"/>
              </w:rPr>
              <w:t>0.2633</w:t>
            </w:r>
          </w:p>
        </w:tc>
      </w:tr>
      <w:tr>
        <w:tc>
          <w:tcPr>
            <w:tcW w:type="dxa" w:w="2381"/>
          </w:tcPr>
          <w:p>
            <w:pPr>
              <w:spacing w:line="240" w:lineRule="auto" w:after="40"/>
              <w:jc w:val="left"/>
            </w:pPr>
            <w:r>
              <w:rPr>
                <w:rFonts w:ascii="맑은 고딕" w:hAnsi="맑은 고딕" w:eastAsia="맑은 고딕"/>
                <w:b w:val="0"/>
                <w:color w:val="1A1A1A"/>
                <w:sz w:val="19"/>
              </w:rPr>
              <w:t>마지막 토큰 풀링</w:t>
            </w:r>
          </w:p>
        </w:tc>
        <w:tc>
          <w:tcPr>
            <w:tcW w:type="dxa" w:w="1361"/>
          </w:tcPr>
          <w:p>
            <w:pPr>
              <w:spacing w:line="240" w:lineRule="auto" w:after="40"/>
              <w:jc w:val="center"/>
            </w:pPr>
            <w:r>
              <w:rPr>
                <w:rFonts w:ascii="맑은 고딕" w:hAnsi="맑은 고딕" w:eastAsia="맑은 고딕"/>
                <w:b w:val="0"/>
                <w:color w:val="1A1A1A"/>
                <w:sz w:val="19"/>
              </w:rPr>
              <w:t>1.1269</w:t>
            </w:r>
          </w:p>
        </w:tc>
        <w:tc>
          <w:tcPr>
            <w:tcW w:type="dxa" w:w="1247"/>
          </w:tcPr>
          <w:p>
            <w:pPr>
              <w:spacing w:line="240" w:lineRule="auto" w:after="40"/>
              <w:jc w:val="center"/>
            </w:pPr>
            <w:r>
              <w:rPr>
                <w:rFonts w:ascii="맑은 고딕" w:hAnsi="맑은 고딕" w:eastAsia="맑은 고딕"/>
                <w:b w:val="0"/>
                <w:color w:val="1A1A1A"/>
                <w:sz w:val="19"/>
              </w:rPr>
              <w:t>+0.0010</w:t>
            </w:r>
          </w:p>
        </w:tc>
        <w:tc>
          <w:tcPr>
            <w:tcW w:type="dxa" w:w="1361"/>
          </w:tcPr>
          <w:p>
            <w:pPr>
              <w:spacing w:line="240" w:lineRule="auto" w:after="40"/>
              <w:jc w:val="center"/>
            </w:pPr>
            <w:r>
              <w:rPr>
                <w:rFonts w:ascii="맑은 고딕" w:hAnsi="맑은 고딕" w:eastAsia="맑은 고딕"/>
                <w:b w:val="0"/>
                <w:color w:val="1A1A1A"/>
                <w:sz w:val="19"/>
              </w:rPr>
              <w:t>0.8400</w:t>
            </w:r>
          </w:p>
        </w:tc>
        <w:tc>
          <w:tcPr>
            <w:tcW w:type="dxa" w:w="1247"/>
          </w:tcPr>
          <w:p>
            <w:pPr>
              <w:spacing w:line="240" w:lineRule="auto" w:after="40"/>
              <w:jc w:val="center"/>
            </w:pPr>
            <w:r>
              <w:rPr>
                <w:rFonts w:ascii="맑은 고딕" w:hAnsi="맑은 고딕" w:eastAsia="맑은 고딕"/>
                <w:b w:val="0"/>
                <w:color w:val="1A1A1A"/>
                <w:sz w:val="19"/>
              </w:rPr>
              <w:t>57.42</w:t>
            </w:r>
          </w:p>
        </w:tc>
        <w:tc>
          <w:tcPr>
            <w:tcW w:type="dxa" w:w="1247"/>
          </w:tcPr>
          <w:p>
            <w:pPr>
              <w:spacing w:line="240" w:lineRule="auto" w:after="40"/>
              <w:jc w:val="center"/>
            </w:pPr>
            <w:r>
              <w:rPr>
                <w:rFonts w:ascii="맑은 고딕" w:hAnsi="맑은 고딕" w:eastAsia="맑은 고딕"/>
                <w:b w:val="0"/>
                <w:color w:val="1A1A1A"/>
                <w:sz w:val="19"/>
              </w:rPr>
              <w:t>0.2683</w:t>
            </w:r>
          </w:p>
        </w:tc>
      </w:tr>
      <w:tr>
        <w:tc>
          <w:tcPr>
            <w:tcW w:type="dxa" w:w="2381"/>
          </w:tcPr>
          <w:p>
            <w:pPr>
              <w:spacing w:line="240" w:lineRule="auto" w:after="40"/>
              <w:jc w:val="left"/>
            </w:pPr>
            <w:r>
              <w:rPr>
                <w:rFonts w:ascii="맑은 고딕" w:hAnsi="맑은 고딕" w:eastAsia="맑은 고딕"/>
                <w:b w:val="0"/>
                <w:color w:val="1A1A1A"/>
                <w:sz w:val="19"/>
              </w:rPr>
              <w:t>시퀀스 길이 3</w:t>
            </w:r>
          </w:p>
        </w:tc>
        <w:tc>
          <w:tcPr>
            <w:tcW w:type="dxa" w:w="1361"/>
          </w:tcPr>
          <w:p>
            <w:pPr>
              <w:spacing w:line="240" w:lineRule="auto" w:after="40"/>
              <w:jc w:val="center"/>
            </w:pPr>
            <w:r>
              <w:rPr>
                <w:rFonts w:ascii="맑은 고딕" w:hAnsi="맑은 고딕" w:eastAsia="맑은 고딕"/>
                <w:b w:val="0"/>
                <w:color w:val="1A1A1A"/>
                <w:sz w:val="19"/>
              </w:rPr>
              <w:t>1.1288</w:t>
            </w:r>
          </w:p>
        </w:tc>
        <w:tc>
          <w:tcPr>
            <w:tcW w:type="dxa" w:w="1247"/>
          </w:tcPr>
          <w:p>
            <w:pPr>
              <w:spacing w:line="240" w:lineRule="auto" w:after="40"/>
              <w:jc w:val="center"/>
            </w:pPr>
            <w:r>
              <w:rPr>
                <w:rFonts w:ascii="맑은 고딕" w:hAnsi="맑은 고딕" w:eastAsia="맑은 고딕"/>
                <w:b w:val="0"/>
                <w:color w:val="1A1A1A"/>
                <w:sz w:val="19"/>
              </w:rPr>
              <w:t>+0.0029</w:t>
            </w:r>
          </w:p>
        </w:tc>
        <w:tc>
          <w:tcPr>
            <w:tcW w:type="dxa" w:w="1361"/>
          </w:tcPr>
          <w:p>
            <w:pPr>
              <w:spacing w:line="240" w:lineRule="auto" w:after="40"/>
              <w:jc w:val="center"/>
            </w:pPr>
            <w:r>
              <w:rPr>
                <w:rFonts w:ascii="맑은 고딕" w:hAnsi="맑은 고딕" w:eastAsia="맑은 고딕"/>
                <w:b w:val="0"/>
                <w:color w:val="1A1A1A"/>
                <w:sz w:val="19"/>
              </w:rPr>
              <w:t>0.8407</w:t>
            </w:r>
          </w:p>
        </w:tc>
        <w:tc>
          <w:tcPr>
            <w:tcW w:type="dxa" w:w="1247"/>
          </w:tcPr>
          <w:p>
            <w:pPr>
              <w:spacing w:line="240" w:lineRule="auto" w:after="40"/>
              <w:jc w:val="center"/>
            </w:pPr>
            <w:r>
              <w:rPr>
                <w:rFonts w:ascii="맑은 고딕" w:hAnsi="맑은 고딕" w:eastAsia="맑은 고딕"/>
                <w:b w:val="0"/>
                <w:color w:val="1A1A1A"/>
                <w:sz w:val="19"/>
              </w:rPr>
              <w:t>57.29</w:t>
            </w:r>
          </w:p>
        </w:tc>
        <w:tc>
          <w:tcPr>
            <w:tcW w:type="dxa" w:w="1247"/>
          </w:tcPr>
          <w:p>
            <w:pPr>
              <w:spacing w:line="240" w:lineRule="auto" w:after="40"/>
              <w:jc w:val="center"/>
            </w:pPr>
            <w:r>
              <w:rPr>
                <w:rFonts w:ascii="맑은 고딕" w:hAnsi="맑은 고딕" w:eastAsia="맑은 고딕"/>
                <w:b w:val="0"/>
                <w:color w:val="1A1A1A"/>
                <w:sz w:val="19"/>
              </w:rPr>
              <w:t>0.2476</w:t>
            </w:r>
          </w:p>
        </w:tc>
      </w:tr>
      <w:tr>
        <w:tc>
          <w:tcPr>
            <w:tcW w:type="dxa" w:w="2381"/>
          </w:tcPr>
          <w:p>
            <w:pPr>
              <w:spacing w:line="240" w:lineRule="auto" w:after="40"/>
              <w:jc w:val="left"/>
            </w:pPr>
            <w:r>
              <w:rPr>
                <w:rFonts w:ascii="맑은 고딕" w:hAnsi="맑은 고딕" w:eastAsia="맑은 고딕"/>
                <w:b w:val="0"/>
                <w:color w:val="1A1A1A"/>
                <w:sz w:val="19"/>
              </w:rPr>
              <w:t>시퀀스 길이 1</w:t>
            </w:r>
          </w:p>
        </w:tc>
        <w:tc>
          <w:tcPr>
            <w:tcW w:type="dxa" w:w="1361"/>
          </w:tcPr>
          <w:p>
            <w:pPr>
              <w:spacing w:line="240" w:lineRule="auto" w:after="40"/>
              <w:jc w:val="center"/>
            </w:pPr>
            <w:r>
              <w:rPr>
                <w:rFonts w:ascii="맑은 고딕" w:hAnsi="맑은 고딕" w:eastAsia="맑은 고딕"/>
                <w:b w:val="0"/>
                <w:color w:val="1A1A1A"/>
                <w:sz w:val="19"/>
              </w:rPr>
              <w:t>1.1302</w:t>
            </w:r>
          </w:p>
        </w:tc>
        <w:tc>
          <w:tcPr>
            <w:tcW w:type="dxa" w:w="1247"/>
          </w:tcPr>
          <w:p>
            <w:pPr>
              <w:spacing w:line="240" w:lineRule="auto" w:after="40"/>
              <w:jc w:val="center"/>
            </w:pPr>
            <w:r>
              <w:rPr>
                <w:rFonts w:ascii="맑은 고딕" w:hAnsi="맑은 고딕" w:eastAsia="맑은 고딕"/>
                <w:b w:val="0"/>
                <w:color w:val="1A1A1A"/>
                <w:sz w:val="19"/>
              </w:rPr>
              <w:t>+0.0043</w:t>
            </w:r>
          </w:p>
        </w:tc>
        <w:tc>
          <w:tcPr>
            <w:tcW w:type="dxa" w:w="1361"/>
          </w:tcPr>
          <w:p>
            <w:pPr>
              <w:spacing w:line="240" w:lineRule="auto" w:after="40"/>
              <w:jc w:val="center"/>
            </w:pPr>
            <w:r>
              <w:rPr>
                <w:rFonts w:ascii="맑은 고딕" w:hAnsi="맑은 고딕" w:eastAsia="맑은 고딕"/>
                <w:b w:val="0"/>
                <w:color w:val="1A1A1A"/>
                <w:sz w:val="19"/>
              </w:rPr>
              <w:t>0.8393</w:t>
            </w:r>
          </w:p>
        </w:tc>
        <w:tc>
          <w:tcPr>
            <w:tcW w:type="dxa" w:w="1247"/>
          </w:tcPr>
          <w:p>
            <w:pPr>
              <w:spacing w:line="240" w:lineRule="auto" w:after="40"/>
              <w:jc w:val="center"/>
            </w:pPr>
            <w:r>
              <w:rPr>
                <w:rFonts w:ascii="맑은 고딕" w:hAnsi="맑은 고딕" w:eastAsia="맑은 고딕"/>
                <w:b w:val="0"/>
                <w:color w:val="1A1A1A"/>
                <w:sz w:val="19"/>
              </w:rPr>
              <w:t>57.36</w:t>
            </w:r>
          </w:p>
        </w:tc>
        <w:tc>
          <w:tcPr>
            <w:tcW w:type="dxa" w:w="1247"/>
          </w:tcPr>
          <w:p>
            <w:pPr>
              <w:spacing w:line="240" w:lineRule="auto" w:after="40"/>
              <w:jc w:val="center"/>
            </w:pPr>
            <w:r>
              <w:rPr>
                <w:rFonts w:ascii="맑은 고딕" w:hAnsi="맑은 고딕" w:eastAsia="맑은 고딕"/>
                <w:b w:val="0"/>
                <w:color w:val="1A1A1A"/>
                <w:sz w:val="19"/>
              </w:rPr>
              <w:t>0.2627</w:t>
            </w:r>
          </w:p>
        </w:tc>
      </w:tr>
      <w:tr>
        <w:tc>
          <w:tcPr>
            <w:tcW w:type="dxa" w:w="2381"/>
          </w:tcPr>
          <w:p>
            <w:pPr>
              <w:spacing w:line="240" w:lineRule="auto" w:after="40"/>
              <w:jc w:val="left"/>
            </w:pPr>
            <w:r>
              <w:rPr>
                <w:rFonts w:ascii="맑은 고딕" w:hAnsi="맑은 고딕" w:eastAsia="맑은 고딕"/>
                <w:b w:val="0"/>
                <w:color w:val="1A1A1A"/>
                <w:sz w:val="19"/>
              </w:rPr>
              <w:t>맥락 스킵 연결 제거</w:t>
            </w:r>
          </w:p>
        </w:tc>
        <w:tc>
          <w:tcPr>
            <w:tcW w:type="dxa" w:w="1361"/>
          </w:tcPr>
          <w:p>
            <w:pPr>
              <w:spacing w:line="240" w:lineRule="auto" w:after="40"/>
              <w:jc w:val="center"/>
            </w:pPr>
            <w:r>
              <w:rPr>
                <w:rFonts w:ascii="맑은 고딕" w:hAnsi="맑은 고딕" w:eastAsia="맑은 고딕"/>
                <w:b w:val="0"/>
                <w:color w:val="1A1A1A"/>
                <w:sz w:val="19"/>
              </w:rPr>
              <w:t>1.1423</w:t>
            </w:r>
          </w:p>
        </w:tc>
        <w:tc>
          <w:tcPr>
            <w:tcW w:type="dxa" w:w="1247"/>
          </w:tcPr>
          <w:p>
            <w:pPr>
              <w:spacing w:line="240" w:lineRule="auto" w:after="40"/>
              <w:jc w:val="center"/>
            </w:pPr>
            <w:r>
              <w:rPr>
                <w:rFonts w:ascii="맑은 고딕" w:hAnsi="맑은 고딕" w:eastAsia="맑은 고딕"/>
                <w:b w:val="0"/>
                <w:color w:val="1A1A1A"/>
                <w:sz w:val="19"/>
              </w:rPr>
              <w:t>+0.0165</w:t>
            </w:r>
          </w:p>
        </w:tc>
        <w:tc>
          <w:tcPr>
            <w:tcW w:type="dxa" w:w="1361"/>
          </w:tcPr>
          <w:p>
            <w:pPr>
              <w:spacing w:line="240" w:lineRule="auto" w:after="40"/>
              <w:jc w:val="center"/>
            </w:pPr>
            <w:r>
              <w:rPr>
                <w:rFonts w:ascii="맑은 고딕" w:hAnsi="맑은 고딕" w:eastAsia="맑은 고딕"/>
                <w:b w:val="0"/>
                <w:color w:val="1A1A1A"/>
                <w:sz w:val="19"/>
              </w:rPr>
              <w:t>0.8364</w:t>
            </w:r>
          </w:p>
        </w:tc>
        <w:tc>
          <w:tcPr>
            <w:tcW w:type="dxa" w:w="1247"/>
          </w:tcPr>
          <w:p>
            <w:pPr>
              <w:spacing w:line="240" w:lineRule="auto" w:after="40"/>
              <w:jc w:val="center"/>
            </w:pPr>
            <w:r>
              <w:rPr>
                <w:rFonts w:ascii="맑은 고딕" w:hAnsi="맑은 고딕" w:eastAsia="맑은 고딕"/>
                <w:b w:val="0"/>
                <w:color w:val="1A1A1A"/>
                <w:sz w:val="19"/>
              </w:rPr>
              <w:t>56.91</w:t>
            </w:r>
          </w:p>
        </w:tc>
        <w:tc>
          <w:tcPr>
            <w:tcW w:type="dxa" w:w="1247"/>
          </w:tcPr>
          <w:p>
            <w:pPr>
              <w:spacing w:line="240" w:lineRule="auto" w:after="40"/>
              <w:jc w:val="center"/>
            </w:pPr>
            <w:r>
              <w:rPr>
                <w:rFonts w:ascii="맑은 고딕" w:hAnsi="맑은 고딕" w:eastAsia="맑은 고딕"/>
                <w:b w:val="0"/>
                <w:color w:val="1A1A1A"/>
                <w:sz w:val="19"/>
              </w:rPr>
              <w:t>0.2571</w:t>
            </w:r>
          </w:p>
        </w:tc>
      </w:tr>
    </w:tbl>
    <w:p>
      <w:pPr>
        <w:spacing w:before="60" w:after="240" w:line="276" w:lineRule="auto"/>
        <w:jc w:val="center"/>
      </w:pPr>
      <w:r>
        <w:rPr>
          <w:rFonts w:ascii="맑은 고딕" w:hAnsi="맑은 고딕" w:eastAsia="맑은 고딕"/>
          <w:b w:val="0"/>
          <w:color w:val="666666"/>
          <w:sz w:val="18"/>
        </w:rPr>
        <w:t>표 5. 어블레이션 결과(2025 시즌 홀드아웃). 굵은 행이 제안 모델이다.</w:t>
      </w:r>
    </w:p>
    <w:p>
      <w:pPr>
        <w:jc w:val="center"/>
      </w:pPr>
      <w:r>
        <w:drawing>
          <wp:inline xmlns:a="http://schemas.openxmlformats.org/drawingml/2006/main" xmlns:pic="http://schemas.openxmlformats.org/drawingml/2006/picture">
            <wp:extent cx="5400000" cy="1975610"/>
            <wp:docPr id="6" name="Picture 6"/>
            <wp:cNvGraphicFramePr>
              <a:graphicFrameLocks noChangeAspect="1"/>
            </wp:cNvGraphicFramePr>
            <a:graphic>
              <a:graphicData uri="http://schemas.openxmlformats.org/drawingml/2006/picture">
                <pic:pic>
                  <pic:nvPicPr>
                    <pic:cNvPr id="0" name="fig4_ablation.png"/>
                    <pic:cNvPicPr/>
                  </pic:nvPicPr>
                  <pic:blipFill>
                    <a:blip r:embed="rId14"/>
                    <a:stretch>
                      <a:fillRect/>
                    </a:stretch>
                  </pic:blipFill>
                  <pic:spPr>
                    <a:xfrm>
                      <a:off x="0" y="0"/>
                      <a:ext cx="5400000" cy="1975610"/>
                    </a:xfrm>
                    <a:prstGeom prst="rect"/>
                  </pic:spPr>
                </pic:pic>
              </a:graphicData>
            </a:graphic>
          </wp:inline>
        </w:drawing>
      </w:r>
    </w:p>
    <w:p>
      <w:pPr>
        <w:spacing w:before="60" w:after="240" w:line="276" w:lineRule="auto"/>
        <w:jc w:val="center"/>
      </w:pPr>
      <w:r>
        <w:rPr>
          <w:rFonts w:ascii="맑은 고딕" w:hAnsi="맑은 고딕" w:eastAsia="맑은 고딕"/>
          <w:b w:val="0"/>
          <w:color w:val="666666"/>
          <w:sz w:val="18"/>
        </w:rPr>
        <w:t>그림 6. 제안 모델 대비 log-loss 증가량. 오른쪽으로 길수록 해당 요소를 제거했을 때 성능이 크게 나빠진다.</w:t>
      </w:r>
    </w:p>
    <w:p>
      <w:pPr>
        <w:spacing w:after="120"/>
      </w:pPr>
      <w:r>
        <w:rPr>
          <w:rFonts w:ascii="맑은 고딕" w:hAnsi="맑은 고딕" w:eastAsia="맑은 고딕"/>
          <w:b/>
          <w:i w:val="0"/>
          <w:color w:val="1A1A1A"/>
          <w:sz w:val="21"/>
        </w:rPr>
        <w:t>(1) 맥락 스킵 연결은 실제로 기여한다.</w:t>
      </w:r>
    </w:p>
    <w:p>
      <w:pPr>
        <w:spacing w:after="120"/>
        <w:ind w:firstLine="227"/>
      </w:pPr>
      <w:r>
        <w:rPr>
          <w:rFonts w:ascii="맑은 고딕" w:hAnsi="맑은 고딕" w:eastAsia="맑은 고딕"/>
          <w:b w:val="0"/>
          <w:i w:val="0"/>
          <w:color w:val="1A1A1A"/>
          <w:sz w:val="21"/>
        </w:rPr>
        <w:t>제거 시 log-loss가 +0.0165 증가하고 macro AUC는 -0.0046 감소하였다. 표에서 가장 큰 효과이며, 유일하게 노이즈 범위 밖으로 판단되는 차이다. 초기 연구가 제안한 핵심 구조가 공정한 비교 하에서 지지된 것이다.</w:t>
      </w:r>
    </w:p>
    <w:p>
      <w:pPr>
        <w:spacing w:after="120"/>
      </w:pPr>
      <w:r>
        <w:rPr>
          <w:rFonts w:ascii="맑은 고딕" w:hAnsi="맑은 고딕" w:eastAsia="맑은 고딕"/>
          <w:b/>
          <w:i w:val="0"/>
          <w:color w:val="1A1A1A"/>
          <w:sz w:val="21"/>
        </w:rPr>
        <w:t>(2) 시퀀스 자체의 기여는 작다.</w:t>
      </w:r>
    </w:p>
    <w:p>
      <w:pPr>
        <w:spacing w:after="120"/>
        <w:ind w:firstLine="227"/>
      </w:pPr>
      <w:r>
        <w:rPr>
          <w:rFonts w:ascii="맑은 고딕" w:hAnsi="맑은 고딕" w:eastAsia="맑은 고딕"/>
          <w:b w:val="0"/>
          <w:i w:val="0"/>
          <w:color w:val="1A1A1A"/>
          <w:sz w:val="21"/>
        </w:rPr>
        <w:t xml:space="preserve">시퀀스 길이를 1로 두어 직전 투구 정보를 완전히 제거해도 log-loss 차이는 +0.0043에 그쳤다. 이는 맥락 스킵 연결 효과의 약 26% 수준이다. 예측력의 대부분은 해당 투구 자체의 물리량과 현재 상황·타자 특성에서 나오며, 직전 투구들이 추가로 제공하는 정보는 제한적이다. </w:t>
      </w:r>
      <w:r>
        <w:rPr>
          <w:rFonts w:ascii="맑은 고딕" w:hAnsi="맑은 고딕" w:eastAsia="맑은 고딕"/>
          <w:b/>
          <w:i w:val="0"/>
          <w:color w:val="1A1A1A"/>
          <w:sz w:val="21"/>
        </w:rPr>
        <w:t>'투구 배합의 시계열 맥락이 결정적'이라는 초기 연구의 전제는 이 데이터에서 강하게 지지되지 않는다.</w:t>
      </w:r>
      <w:r>
        <w:rPr>
          <w:rFonts w:ascii="맑은 고딕" w:hAnsi="맑은 고딕" w:eastAsia="맑은 고딕"/>
          <w:b w:val="0"/>
          <w:i w:val="0"/>
          <w:color w:val="1A1A1A"/>
          <w:sz w:val="21"/>
        </w:rPr>
        <w:t xml:space="preserve"> 셋업 피치 최적화의 효과가 최종구 최적화보다 작았던 Takamido와 Nakamoto(2026)의 보고와도 방향이 일치한다.</w:t>
      </w:r>
    </w:p>
    <w:p>
      <w:pPr>
        <w:spacing w:after="120"/>
      </w:pPr>
      <w:r>
        <w:rPr>
          <w:rFonts w:ascii="맑은 고딕" w:hAnsi="맑은 고딕" w:eastAsia="맑은 고딕"/>
          <w:b/>
          <w:i w:val="0"/>
          <w:color w:val="1A1A1A"/>
          <w:sz w:val="21"/>
        </w:rPr>
        <w:t>(3) 카운트·베이스아웃 상태 임베딩은 효과가 없다.</w:t>
      </w:r>
    </w:p>
    <w:p>
      <w:pPr>
        <w:spacing w:after="120"/>
        <w:ind w:firstLine="227"/>
      </w:pPr>
      <w:r>
        <w:rPr>
          <w:rFonts w:ascii="맑은 고딕" w:hAnsi="맑은 고딕" w:eastAsia="맑은 고딕"/>
          <w:b w:val="0"/>
          <w:i w:val="0"/>
          <w:color w:val="1A1A1A"/>
          <w:sz w:val="21"/>
        </w:rPr>
        <w:t>제거해도 log-loss가 -0.0014로 오히려 미세하게 개선되었다. 맥락 경로의 이득은 이산 상태 임베딩이 아니라 연속 맥락 피처, 특히 타자의 직전 시즌 성적에서 나오는 것으로 해석된다. 이 구성요소는 제거하는 것이 타당하다.</w:t>
      </w:r>
    </w:p>
    <w:p>
      <w:r>
        <w:br w:type="page"/>
      </w:r>
    </w:p>
    <w:p>
      <w:pPr>
        <w:spacing w:before="320" w:after="120"/>
      </w:pPr>
      <w:r>
        <w:rPr>
          <w:rFonts w:ascii="맑은 고딕" w:hAnsi="맑은 고딕" w:eastAsia="맑은 고딕"/>
          <w:b/>
          <w:color w:val="1A1A1A"/>
          <w:sz w:val="30"/>
        </w:rPr>
        <w:t>6. 시스템 구현</w:t>
      </w:r>
    </w:p>
    <w:p>
      <w:pPr>
        <w:spacing w:after="120"/>
        <w:ind w:firstLine="227"/>
      </w:pPr>
      <w:r>
        <w:rPr>
          <w:rFonts w:ascii="맑은 고딕" w:hAnsi="맑은 고딕" w:eastAsia="맑은 고딕"/>
          <w:b w:val="0"/>
          <w:i w:val="0"/>
          <w:color w:val="1A1A1A"/>
          <w:sz w:val="21"/>
        </w:rPr>
        <w:t>모델과 분석 결과를 현장에서 활용할 수 있도록 Streamlit 기반 웹 대시보드를 구현하였다. 다섯 개 화면으로 구성되며, 학습 산출물이 없어도 데이터 집계 기반 화면은 독립적으로 동작한다.</w:t>
      </w:r>
    </w:p>
    <w:tbl>
      <w:tblPr>
        <w:tblStyle w:val="TableGrid"/>
        <w:tblW w:type="auto" w:w="0"/>
        <w:jc w:val="center"/>
        <w:tblLook w:firstColumn="1" w:firstRow="1" w:lastColumn="0" w:lastRow="0" w:noHBand="0" w:noVBand="1" w:val="04A0"/>
      </w:tblPr>
      <w:tblGrid>
        <w:gridCol w:w="4646"/>
        <w:gridCol w:w="4646"/>
      </w:tblGrid>
      <w:tr>
        <w:tc>
          <w:tcPr>
            <w:tcW w:type="dxa" w:w="1701"/>
          </w:tcPr>
          <w:p>
            <w:pPr>
              <w:spacing w:line="240" w:lineRule="auto" w:after="40"/>
              <w:jc w:val="center"/>
            </w:pPr>
            <w:r/>
            <w:r>
              <w:rPr>
                <w:rFonts w:ascii="맑은 고딕" w:hAnsi="맑은 고딕" w:eastAsia="맑은 고딕"/>
                <w:b/>
                <w:color w:val="1A1A1A"/>
                <w:sz w:val="19"/>
              </w:rPr>
              <w:t>화면</w:t>
            </w:r>
          </w:p>
        </w:tc>
        <w:tc>
          <w:tcPr>
            <w:tcW w:type="dxa" w:w="6803"/>
          </w:tcPr>
          <w:p>
            <w:pPr>
              <w:spacing w:line="240" w:lineRule="auto" w:after="40"/>
              <w:jc w:val="center"/>
            </w:pPr>
            <w:r/>
            <w:r>
              <w:rPr>
                <w:rFonts w:ascii="맑은 고딕" w:hAnsi="맑은 고딕" w:eastAsia="맑은 고딕"/>
                <w:b/>
                <w:color w:val="1A1A1A"/>
                <w:sz w:val="19"/>
              </w:rPr>
              <w:t>기능</w:t>
            </w:r>
          </w:p>
        </w:tc>
      </w:tr>
      <w:tr>
        <w:tc>
          <w:tcPr>
            <w:tcW w:type="dxa" w:w="1701"/>
          </w:tcPr>
          <w:p>
            <w:pPr>
              <w:spacing w:line="240" w:lineRule="auto" w:after="40"/>
              <w:jc w:val="left"/>
            </w:pPr>
            <w:r>
              <w:rPr>
                <w:rFonts w:ascii="맑은 고딕" w:hAnsi="맑은 고딕" w:eastAsia="맑은 고딕"/>
                <w:b w:val="0"/>
                <w:color w:val="1A1A1A"/>
                <w:sz w:val="19"/>
              </w:rPr>
              <w:t>투구 추천</w:t>
            </w:r>
          </w:p>
        </w:tc>
        <w:tc>
          <w:tcPr>
            <w:tcW w:type="dxa" w:w="6803"/>
          </w:tcPr>
          <w:p>
            <w:pPr>
              <w:spacing w:line="240" w:lineRule="auto" w:after="40"/>
              <w:jc w:val="center"/>
            </w:pPr>
            <w:r>
              <w:rPr>
                <w:rFonts w:ascii="맑은 고딕" w:hAnsi="맑은 고딕" w:eastAsia="맑은 고딕"/>
                <w:b w:val="0"/>
                <w:color w:val="1A1A1A"/>
                <w:sz w:val="19"/>
              </w:rPr>
              <w:t>매치업·상황·타석 이력을 입력하면 구종×코스 후보 전체를 평가하여 기대 실점이 가장 낮은 상위 3개를 제시. 구종별 코스 지도 동시 표시</w:t>
            </w:r>
          </w:p>
        </w:tc>
      </w:tr>
      <w:tr>
        <w:tc>
          <w:tcPr>
            <w:tcW w:type="dxa" w:w="1701"/>
          </w:tcPr>
          <w:p>
            <w:pPr>
              <w:spacing w:line="240" w:lineRule="auto" w:after="40"/>
              <w:jc w:val="left"/>
            </w:pPr>
            <w:r>
              <w:rPr>
                <w:rFonts w:ascii="맑은 고딕" w:hAnsi="맑은 고딕" w:eastAsia="맑은 고딕"/>
                <w:b w:val="0"/>
                <w:color w:val="1A1A1A"/>
                <w:sz w:val="19"/>
              </w:rPr>
              <w:t>타자 분석</w:t>
            </w:r>
          </w:p>
        </w:tc>
        <w:tc>
          <w:tcPr>
            <w:tcW w:type="dxa" w:w="6803"/>
          </w:tcPr>
          <w:p>
            <w:pPr>
              <w:spacing w:line="240" w:lineRule="auto" w:after="40"/>
              <w:jc w:val="center"/>
            </w:pPr>
            <w:r>
              <w:rPr>
                <w:rFonts w:ascii="맑은 고딕" w:hAnsi="맑은 고딕" w:eastAsia="맑은 고딕"/>
                <w:b w:val="0"/>
                <w:color w:val="1A1A1A"/>
                <w:sz w:val="19"/>
              </w:rPr>
              <w:t>코스별·구종별 약점, 헛스윙률·체이스율 등 지표를 리그 평균 대비로 표시</w:t>
            </w:r>
          </w:p>
        </w:tc>
      </w:tr>
      <w:tr>
        <w:tc>
          <w:tcPr>
            <w:tcW w:type="dxa" w:w="1701"/>
          </w:tcPr>
          <w:p>
            <w:pPr>
              <w:spacing w:line="240" w:lineRule="auto" w:after="40"/>
              <w:jc w:val="left"/>
            </w:pPr>
            <w:r>
              <w:rPr>
                <w:rFonts w:ascii="맑은 고딕" w:hAnsi="맑은 고딕" w:eastAsia="맑은 고딕"/>
                <w:b w:val="0"/>
                <w:color w:val="1A1A1A"/>
                <w:sz w:val="19"/>
              </w:rPr>
              <w:t>투수 분석</w:t>
            </w:r>
          </w:p>
        </w:tc>
        <w:tc>
          <w:tcPr>
            <w:tcW w:type="dxa" w:w="6803"/>
          </w:tcPr>
          <w:p>
            <w:pPr>
              <w:spacing w:line="240" w:lineRule="auto" w:after="40"/>
              <w:jc w:val="center"/>
            </w:pPr>
            <w:r>
              <w:rPr>
                <w:rFonts w:ascii="맑은 고딕" w:hAnsi="맑은 고딕" w:eastAsia="맑은 고딕"/>
                <w:b w:val="0"/>
                <w:color w:val="1A1A1A"/>
                <w:sz w:val="19"/>
              </w:rPr>
              <w:t>구종 레퍼토리와 무브먼트, 카운트별 구종 선택 성향, 코스 성향</w:t>
            </w:r>
          </w:p>
        </w:tc>
      </w:tr>
      <w:tr>
        <w:tc>
          <w:tcPr>
            <w:tcW w:type="dxa" w:w="1701"/>
          </w:tcPr>
          <w:p>
            <w:pPr>
              <w:spacing w:line="240" w:lineRule="auto" w:after="40"/>
              <w:jc w:val="left"/>
            </w:pPr>
            <w:r>
              <w:rPr>
                <w:rFonts w:ascii="맑은 고딕" w:hAnsi="맑은 고딕" w:eastAsia="맑은 고딕"/>
                <w:b w:val="0"/>
                <w:color w:val="1A1A1A"/>
                <w:sz w:val="19"/>
              </w:rPr>
              <w:t>팀 분석</w:t>
            </w:r>
          </w:p>
        </w:tc>
        <w:tc>
          <w:tcPr>
            <w:tcW w:type="dxa" w:w="6803"/>
          </w:tcPr>
          <w:p>
            <w:pPr>
              <w:spacing w:line="240" w:lineRule="auto" w:after="40"/>
              <w:jc w:val="center"/>
            </w:pPr>
            <w:r>
              <w:rPr>
                <w:rFonts w:ascii="맑은 고딕" w:hAnsi="맑은 고딕" w:eastAsia="맑은 고딕"/>
                <w:b w:val="0"/>
                <w:color w:val="1A1A1A"/>
                <w:sz w:val="19"/>
              </w:rPr>
              <w:t>30개 구단 투수진 지표 순위와 소속 선수 명단</w:t>
            </w:r>
          </w:p>
        </w:tc>
      </w:tr>
      <w:tr>
        <w:tc>
          <w:tcPr>
            <w:tcW w:type="dxa" w:w="1701"/>
          </w:tcPr>
          <w:p>
            <w:pPr>
              <w:spacing w:line="240" w:lineRule="auto" w:after="40"/>
              <w:jc w:val="left"/>
            </w:pPr>
            <w:r>
              <w:rPr>
                <w:rFonts w:ascii="맑은 고딕" w:hAnsi="맑은 고딕" w:eastAsia="맑은 고딕"/>
                <w:b w:val="0"/>
                <w:color w:val="1A1A1A"/>
                <w:sz w:val="19"/>
              </w:rPr>
              <w:t>모델 성능</w:t>
            </w:r>
          </w:p>
        </w:tc>
        <w:tc>
          <w:tcPr>
            <w:tcW w:type="dxa" w:w="6803"/>
          </w:tcPr>
          <w:p>
            <w:pPr>
              <w:spacing w:line="240" w:lineRule="auto" w:after="40"/>
              <w:jc w:val="center"/>
            </w:pPr>
            <w:r>
              <w:rPr>
                <w:rFonts w:ascii="맑은 고딕" w:hAnsi="맑은 고딕" w:eastAsia="맑은 고딕"/>
                <w:b w:val="0"/>
                <w:color w:val="1A1A1A"/>
                <w:sz w:val="19"/>
              </w:rPr>
              <w:t>테스트 시즌 지표, 학습 곡선, 캘리브레이션, 혼동 행렬, 어블레이션</w:t>
            </w:r>
          </w:p>
        </w:tc>
      </w:tr>
    </w:tbl>
    <w:p>
      <w:pPr>
        <w:spacing w:before="60" w:after="240" w:line="276" w:lineRule="auto"/>
        <w:jc w:val="center"/>
      </w:pPr>
      <w:r>
        <w:rPr>
          <w:rFonts w:ascii="맑은 고딕" w:hAnsi="맑은 고딕" w:eastAsia="맑은 고딕"/>
          <w:b w:val="0"/>
          <w:color w:val="666666"/>
          <w:sz w:val="18"/>
        </w:rPr>
        <w:t>표 6. 대시보드 구성.</w:t>
      </w:r>
    </w:p>
    <w:p>
      <w:pPr>
        <w:spacing w:after="120"/>
        <w:ind w:firstLine="227"/>
      </w:pPr>
      <w:r>
        <w:rPr>
          <w:rFonts w:ascii="맑은 고딕" w:hAnsi="맑은 고딕" w:eastAsia="맑은 고딕"/>
          <w:b w:val="0"/>
          <w:i w:val="0"/>
          <w:color w:val="1A1A1A"/>
          <w:sz w:val="21"/>
        </w:rPr>
        <w:t>선수 프로파일은 2024·2025 전체 데이터로 산출하였으며, 분석 가능 대상은 타자 1,024명, 투수 1,193명이다. 코스별 지표는 표본이 적은 칸에서 우연한 극단값이 약점으로 오인되지 않도록 경험적 베이즈 축소를 적용하여 리그 평균 쪽으로 당겼다.</w:t>
      </w:r>
    </w:p>
    <w:p>
      <w:pPr>
        <w:jc w:val="center"/>
      </w:pPr>
      <w:r>
        <w:drawing>
          <wp:inline xmlns:a="http://schemas.openxmlformats.org/drawingml/2006/main" xmlns:pic="http://schemas.openxmlformats.org/drawingml/2006/picture">
            <wp:extent cx="3960000" cy="2682581"/>
            <wp:docPr id="7" name="Picture 7"/>
            <wp:cNvGraphicFramePr>
              <a:graphicFrameLocks noChangeAspect="1"/>
            </wp:cNvGraphicFramePr>
            <a:graphic>
              <a:graphicData uri="http://schemas.openxmlformats.org/drawingml/2006/picture">
                <pic:pic>
                  <pic:nvPicPr>
                    <pic:cNvPr id="0" name="fig8_zone.png"/>
                    <pic:cNvPicPr/>
                  </pic:nvPicPr>
                  <pic:blipFill>
                    <a:blip r:embed="rId15"/>
                    <a:stretch>
                      <a:fillRect/>
                    </a:stretch>
                  </pic:blipFill>
                  <pic:spPr>
                    <a:xfrm>
                      <a:off x="0" y="0"/>
                      <a:ext cx="3960000" cy="2682581"/>
                    </a:xfrm>
                    <a:prstGeom prst="rect"/>
                  </pic:spPr>
                </pic:pic>
              </a:graphicData>
            </a:graphic>
          </wp:inline>
        </w:drawing>
      </w:r>
    </w:p>
    <w:p>
      <w:pPr>
        <w:spacing w:before="60" w:after="240" w:line="276" w:lineRule="auto"/>
        <w:jc w:val="center"/>
      </w:pPr>
      <w:r>
        <w:rPr>
          <w:rFonts w:ascii="맑은 고딕" w:hAnsi="맑은 고딕" w:eastAsia="맑은 고딕"/>
          <w:b w:val="0"/>
          <w:color w:val="666666"/>
          <w:sz w:val="18"/>
        </w:rPr>
        <w:t>그림 7. 타자 코스별 기대 실점 예시. 빨강은 타자에게 유리한(투수에게 위험한) 구역, 파랑은 그 반대다. 검은 사각형이 스트라이크존이다.</w:t>
      </w:r>
    </w:p>
    <w:p>
      <w:pPr>
        <w:spacing w:after="120"/>
        <w:ind w:firstLine="227"/>
      </w:pPr>
      <w:r>
        <w:rPr>
          <w:rFonts w:ascii="맑은 고딕" w:hAnsi="맑은 고딕" w:eastAsia="맑은 고딕"/>
          <w:b w:val="0"/>
          <w:i w:val="0"/>
          <w:color w:val="1A1A1A"/>
          <w:sz w:val="21"/>
        </w:rPr>
        <w:t>시각화는 전 화면에서 일관된 규약을 따른다. 구종별 색은 구종에 고정 배정되어 필터를 변경해도 바뀌지 않으며, 부호가 의미를 갖는 값은 발산형(파랑–회색–빨강), 크기만을 나타내는 값은 단일 색조 순차형으로 표현한다. 사용한 범주형 팔레트는 명도대·채도·색각 분리 기준에 대해 사전 검증하였고, 모든 차트에 직접 라벨과 표 형태의 대체 표현을 함께 제공하여 색만으로 값을 읽지 않아도 되게 하였다.</w:t>
      </w:r>
    </w:p>
    <w:p>
      <w:pPr>
        <w:spacing w:before="320" w:after="120"/>
      </w:pPr>
      <w:r>
        <w:rPr>
          <w:rFonts w:ascii="맑은 고딕" w:hAnsi="맑은 고딕" w:eastAsia="맑은 고딕"/>
          <w:b/>
          <w:color w:val="1A1A1A"/>
          <w:sz w:val="30"/>
        </w:rPr>
        <w:t>7. 논의 및 한계</w:t>
      </w:r>
    </w:p>
    <w:p>
      <w:pPr>
        <w:spacing w:after="120"/>
        <w:ind w:firstLine="227"/>
      </w:pPr>
      <w:r>
        <w:rPr>
          <w:rFonts w:ascii="맑은 고딕" w:hAnsi="맑은 고딕" w:eastAsia="맑은 고딕"/>
          <w:b w:val="0"/>
          <w:i w:val="0"/>
          <w:color w:val="1A1A1A"/>
          <w:sz w:val="21"/>
        </w:rPr>
        <w:t>본 연구의 한계와 후속 과제는 다음과 같다.</w:t>
      </w:r>
    </w:p>
    <w:p>
      <w:pPr>
        <w:pStyle w:val="ListBullet"/>
        <w:spacing w:after="60" w:line="324" w:lineRule="auto"/>
        <w:ind w:left="397"/>
      </w:pPr>
      <w:r>
        <w:rPr>
          <w:rFonts w:ascii="맑은 고딕" w:hAnsi="맑은 고딕" w:eastAsia="맑은 고딕"/>
          <w:b/>
          <w:color w:val="1A1A1A"/>
          <w:sz w:val="21"/>
        </w:rPr>
        <w:t>단일 시드 실행.</w:t>
      </w:r>
      <w:r>
        <w:rPr>
          <w:rFonts w:ascii="맑은 고딕" w:hAnsi="맑은 고딕" w:eastAsia="맑은 고딕"/>
          <w:b w:val="0"/>
          <w:color w:val="1A1A1A"/>
          <w:sz w:val="21"/>
        </w:rPr>
        <w:t xml:space="preserve"> 표 5의 어블레이션은 시드 1개의 단일 실행 결과다. 맥락 스킵 연결의 차이(log-loss +0.0164)는 노이즈 범위 밖으로 보이나, 나머지 구성의 차이(0.001~0.004)는 재현 실험 없이 결론짓기 어렵다. 핵심 3개 구성에 대해 시드를 늘려 평균과 표준편차로 보고할 필요가 있다.</w:t>
      </w:r>
    </w:p>
    <w:p>
      <w:pPr>
        <w:pStyle w:val="ListBullet"/>
        <w:spacing w:after="60" w:line="324" w:lineRule="auto"/>
        <w:ind w:left="397"/>
      </w:pPr>
      <w:r>
        <w:rPr>
          <w:rFonts w:ascii="맑은 고딕" w:hAnsi="맑은 고딕" w:eastAsia="맑은 고딕"/>
          <w:b/>
          <w:color w:val="1A1A1A"/>
          <w:sz w:val="21"/>
        </w:rPr>
        <w:t>학습 예산의 미포화.</w:t>
      </w:r>
      <w:r>
        <w:rPr>
          <w:rFonts w:ascii="맑은 고딕" w:hAnsi="맑은 고딕" w:eastAsia="맑은 고딕"/>
          <w:b w:val="0"/>
          <w:color w:val="1A1A1A"/>
          <w:sz w:val="21"/>
        </w:rPr>
        <w:t xml:space="preserve"> 5.1에서 지적하였듯 검증 log-loss의 최저값이 마지막 에폭에서 관측되었다. 더 긴 학습에서 성능이 개선될 여지가 있으며, 현재 수치는 하한으로 보아야 한다.</w:t>
      </w:r>
    </w:p>
    <w:p>
      <w:pPr>
        <w:pStyle w:val="ListBullet"/>
        <w:spacing w:after="60" w:line="324" w:lineRule="auto"/>
        <w:ind w:left="397"/>
      </w:pPr>
      <w:r>
        <w:rPr>
          <w:rFonts w:ascii="맑은 고딕" w:hAnsi="맑은 고딕" w:eastAsia="맑은 고딕"/>
          <w:b/>
          <w:color w:val="1A1A1A"/>
          <w:sz w:val="21"/>
        </w:rPr>
        <w:t>희귀 클래스 재현율.</w:t>
      </w:r>
      <w:r>
        <w:rPr>
          <w:rFonts w:ascii="맑은 고딕" w:hAnsi="맑은 고딕" w:eastAsia="맑은 고딕"/>
          <w:b w:val="0"/>
          <w:color w:val="1A1A1A"/>
          <w:sz w:val="21"/>
        </w:rPr>
        <w:t xml:space="preserve"> 안타 계열의 재현율이 0인 것은 캘리브레이션을 우선한 설계의 결과다. 확률 보정을 유지하면서 희귀 사건 탐지를 개선하는 방법(사후 임계값 조정, logit adjustment 등)의 검토가 필요하다.</w:t>
      </w:r>
    </w:p>
    <w:p>
      <w:pPr>
        <w:pStyle w:val="ListBullet"/>
        <w:spacing w:after="60" w:line="324" w:lineRule="auto"/>
        <w:ind w:left="397"/>
      </w:pPr>
      <w:r>
        <w:rPr>
          <w:rFonts w:ascii="맑은 고딕" w:hAnsi="맑은 고딕" w:eastAsia="맑은 고딕"/>
          <w:b/>
          <w:color w:val="1A1A1A"/>
          <w:sz w:val="21"/>
        </w:rPr>
        <w:t>추천기 자체의 검증 부재.</w:t>
      </w:r>
      <w:r>
        <w:rPr>
          <w:rFonts w:ascii="맑은 고딕" w:hAnsi="맑은 고딕" w:eastAsia="맑은 고딕"/>
          <w:b w:val="0"/>
          <w:color w:val="1A1A1A"/>
          <w:sz w:val="21"/>
        </w:rPr>
        <w:t xml:space="preserve"> 본 연구는 결과 예측 모델을 홀드아웃에서 평가하였으나, 추천 로직이 실제로 더 나은 선택을 하는지는 검증하지 않았다. Takamido와 Nakamoto(2026)의 반사실 최적화와 시즌 지표 회귀를 적용하면 '이 추천을 따랐을 때 K/9가 얼마나 개선되는가'를 정량화할 수 있다. 본 개정에서 참조 테이블과 반사실 후보 생성 기반은 이미 구축하였으므로, 이 분석은 자연스러운 후속 과제다.</w:t>
      </w:r>
    </w:p>
    <w:p>
      <w:pPr>
        <w:pStyle w:val="ListBullet"/>
        <w:spacing w:after="60" w:line="324" w:lineRule="auto"/>
        <w:ind w:left="397"/>
      </w:pPr>
      <w:r>
        <w:rPr>
          <w:rFonts w:ascii="맑은 고딕" w:hAnsi="맑은 고딕" w:eastAsia="맑은 고딕"/>
          <w:b/>
          <w:color w:val="1A1A1A"/>
          <w:sz w:val="21"/>
        </w:rPr>
        <w:t>타자 적응의 미고려.</w:t>
      </w:r>
      <w:r>
        <w:rPr>
          <w:rFonts w:ascii="맑은 고딕" w:hAnsi="맑은 고딕" w:eastAsia="맑은 고딕"/>
          <w:b w:val="0"/>
          <w:color w:val="1A1A1A"/>
          <w:sz w:val="21"/>
        </w:rPr>
        <w:t xml:space="preserve"> 최적 선택이 특정 구종·코스로 수렴하면 타자의 예측 가능성이 높아져 실제 효과가 추정치보다 낮아질 수 있다. 투수와 타자의 전략적 상호작용을 모델에 반영하는 것이 필요하다.</w:t>
      </w:r>
    </w:p>
    <w:p>
      <w:pPr>
        <w:spacing w:after="120"/>
        <w:ind w:firstLine="227"/>
      </w:pPr>
      <w:r>
        <w:rPr>
          <w:rFonts w:ascii="맑은 고딕" w:hAnsi="맑은 고딕" w:eastAsia="맑은 고딕"/>
          <w:b w:val="0"/>
          <w:i w:val="0"/>
          <w:color w:val="1A1A1A"/>
          <w:sz w:val="21"/>
        </w:rPr>
        <w:t xml:space="preserve">한편 본 개정 과정에서 얻은 방법론적 교훈을 기록해 둔다. </w:t>
      </w:r>
      <w:r>
        <w:rPr>
          <w:rFonts w:ascii="맑은 고딕" w:hAnsi="맑은 고딕" w:eastAsia="맑은 고딕"/>
          <w:b/>
          <w:i w:val="0"/>
          <w:color w:val="1A1A1A"/>
          <w:sz w:val="21"/>
        </w:rPr>
        <w:t>성능이 예상보다 높게 나올 때 그것을 검증하는 절차가 파이프라인에 포함되어야 한다.</w:t>
      </w:r>
      <w:r>
        <w:rPr>
          <w:rFonts w:ascii="맑은 고딕" w:hAnsi="맑은 고딕" w:eastAsia="맑은 고딕"/>
          <w:b w:val="0"/>
          <w:i w:val="0"/>
          <w:color w:val="1A1A1A"/>
          <w:sz w:val="21"/>
        </w:rPr>
        <w:t xml:space="preserve"> 초기 구현의 67.52%는 그 자체로는 의심스럽지 않은 값이었고, 정확도라는 단일 지표로는 누수를 감지할 수 없었다. 본 개정에서는 시퀀스 조립 후 '유효 길이가 min(pitch_number, 6)과 일치하는가'를 자동 검증하는 스크립트를 파이프라인에 포함시켰다. 이러한 구조적 점검이 사후 분석보다 효과적이다.</w:t>
      </w:r>
    </w:p>
    <w:p>
      <w:pPr>
        <w:spacing w:before="320" w:after="120"/>
      </w:pPr>
      <w:r>
        <w:rPr>
          <w:rFonts w:ascii="맑은 고딕" w:hAnsi="맑은 고딕" w:eastAsia="맑은 고딕"/>
          <w:b/>
          <w:color w:val="1A1A1A"/>
          <w:sz w:val="30"/>
        </w:rPr>
        <w:t>8. 결론</w:t>
      </w:r>
    </w:p>
    <w:p>
      <w:pPr>
        <w:spacing w:after="120"/>
        <w:ind w:firstLine="227"/>
      </w:pPr>
      <w:r>
        <w:rPr>
          <w:rFonts w:ascii="맑은 고딕" w:hAnsi="맑은 고딕" w:eastAsia="맑은 고딕"/>
          <w:b w:val="0"/>
          <w:i w:val="0"/>
          <w:color w:val="1A1A1A"/>
          <w:sz w:val="21"/>
        </w:rPr>
        <w:t>본 연구는 초기 구현이 보고한 성능이 미래 정보 누수에 기인함을 규명하고, 데이터 구성부터 평가 방법까지 파이프라인을 재설계하였다. Statcast 원본의 역시간순 정렬을 놓친 것이 근본 원인이었으며, 볼카운트가 모든 타임스텝에 포함되어 있어 인접 투구의 카운트 비교만으로 정답을 읽을 수 있는 구조였다.</w:t>
      </w:r>
    </w:p>
    <w:p>
      <w:pPr>
        <w:spacing w:after="120"/>
        <w:ind w:firstLine="227"/>
      </w:pPr>
      <w:r>
        <w:rPr>
          <w:rFonts w:ascii="맑은 고딕" w:hAnsi="맑은 고딕" w:eastAsia="맑은 고딕"/>
          <w:b w:val="0"/>
          <w:i w:val="0"/>
          <w:color w:val="1A1A1A"/>
          <w:sz w:val="21"/>
        </w:rPr>
        <w:t>재설계 후 2025 시즌 홀드아웃에서 log-loss 1.1259, macro AUC 0.8410, ECE 0.0084를 얻었다. 정확도는 초기 보고값보다 낮으나, 두 수치는 측정 대상이 다르므로 비교 가능한 값이 아니다. 오히려 temperature가 1.070로 1에 근접한다는 사실은 출력 확률이 실제 빈도와 일치함을 보여주며, 확률로 후보를 순위화하는 본 시스템에서는 이것이 정확도보다 본질적인 성질이다.</w:t>
      </w:r>
    </w:p>
    <w:p>
      <w:pPr>
        <w:spacing w:after="120"/>
        <w:ind w:firstLine="227"/>
      </w:pPr>
      <w:r>
        <w:rPr>
          <w:rFonts w:ascii="맑은 고딕" w:hAnsi="맑은 고딕" w:eastAsia="맑은 고딕"/>
          <w:b w:val="0"/>
          <w:i w:val="0"/>
          <w:color w:val="1A1A1A"/>
          <w:sz w:val="21"/>
        </w:rPr>
        <w:t>어블레이션을 통해 맥락 스킵 연결의 기여를 공정한 조건에서 확인하였고, 동시에 투구 시퀀스의 기여가 예상보다 작다는 부정적 결과도 함께 얻었다. 후자는 초기 연구의 전제를 약화시키지만, 그 자체로 의미 있는 발견이다. 투구 배합의 효과를 정량화하려면 본 연구보다 정교한 실험 설계가 필요하며, 이는 반사실 분석과 시즌 지표 환산을 결합한 후속 연구로 이어질 수 있다.</w:t>
      </w:r>
    </w:p>
    <w:p>
      <w:pPr>
        <w:spacing w:before="320" w:after="120"/>
      </w:pPr>
      <w:r>
        <w:rPr>
          <w:rFonts w:ascii="맑은 고딕" w:hAnsi="맑은 고딕" w:eastAsia="맑은 고딕"/>
          <w:b/>
          <w:color w:val="1A1A1A"/>
          <w:sz w:val="30"/>
        </w:rPr>
        <w:t>참고문헌</w:t>
      </w:r>
    </w:p>
    <w:p>
      <w:pPr>
        <w:spacing w:after="80" w:line="312" w:lineRule="auto"/>
        <w:ind w:left="510" w:hanging="510"/>
      </w:pPr>
      <w:r>
        <w:rPr>
          <w:rFonts w:ascii="맑은 고딕" w:hAnsi="맑은 고딕" w:eastAsia="맑은 고딕"/>
          <w:b w:val="0"/>
          <w:color w:val="1A1A1A"/>
          <w:sz w:val="19"/>
        </w:rPr>
        <w:t>[1] R. Takamido and H. Nakamoto, "Counterfactual Optimization of Baseball Pitch Sequences and Estimation of Its Impact on Season-Level Statistics," arXiv:2606.17345, 2026.</w:t>
      </w:r>
    </w:p>
    <w:p>
      <w:pPr>
        <w:spacing w:after="80" w:line="312" w:lineRule="auto"/>
        <w:ind w:left="510" w:hanging="510"/>
      </w:pPr>
      <w:r>
        <w:rPr>
          <w:rFonts w:ascii="맑은 고딕" w:hAnsi="맑은 고딕" w:eastAsia="맑은 고딕"/>
          <w:b w:val="0"/>
          <w:color w:val="1A1A1A"/>
          <w:sz w:val="19"/>
        </w:rPr>
        <w:t>[2] D. Kneita, "Transformer-Based Baseball Modeling for Pitch Outcome Prediction and Strategy Optimization," MIT Sloan Sports Analytics Conference, 2025.</w:t>
      </w:r>
    </w:p>
    <w:p>
      <w:pPr>
        <w:spacing w:after="80" w:line="312" w:lineRule="auto"/>
        <w:ind w:left="510" w:hanging="510"/>
      </w:pPr>
      <w:r>
        <w:rPr>
          <w:rFonts w:ascii="맑은 고딕" w:hAnsi="맑은 고딕" w:eastAsia="맑은 고딕"/>
          <w:b w:val="0"/>
          <w:color w:val="1A1A1A"/>
          <w:sz w:val="19"/>
        </w:rPr>
        <w:t>[3] C. Guo, G. Pleiss, Y. Sun, and K. Q. Weinberger, "On Calibration of Modern Neural Networks," in Proc. ICML, 2017, pp. 1321–1330.</w:t>
      </w:r>
    </w:p>
    <w:p>
      <w:pPr>
        <w:spacing w:after="80" w:line="312" w:lineRule="auto"/>
        <w:ind w:left="510" w:hanging="510"/>
      </w:pPr>
      <w:r>
        <w:rPr>
          <w:rFonts w:ascii="맑은 고딕" w:hAnsi="맑은 고딕" w:eastAsia="맑은 고딕"/>
          <w:b w:val="0"/>
          <w:color w:val="1A1A1A"/>
          <w:sz w:val="19"/>
        </w:rPr>
        <w:t>[4] T.-Y. Lin, P. Goyal, R. Girshick, K. He, and P. Dollár, "Focal Loss for Dense Object Detection," in Proc. IEEE ICCV, 2017, pp. 2980–2988.</w:t>
      </w:r>
    </w:p>
    <w:p>
      <w:pPr>
        <w:spacing w:after="80" w:line="312" w:lineRule="auto"/>
        <w:ind w:left="510" w:hanging="510"/>
      </w:pPr>
      <w:r>
        <w:rPr>
          <w:rFonts w:ascii="맑은 고딕" w:hAnsi="맑은 고딕" w:eastAsia="맑은 고딕"/>
          <w:b w:val="0"/>
          <w:color w:val="1A1A1A"/>
          <w:sz w:val="19"/>
        </w:rPr>
        <w:t>[5] C. Guo and F. Berkhahn, "Entity Embeddings of Categorical Variables," arXiv:1604.06737, 2016.</w:t>
      </w:r>
    </w:p>
    <w:p>
      <w:pPr>
        <w:spacing w:after="80" w:line="312" w:lineRule="auto"/>
        <w:ind w:left="510" w:hanging="510"/>
      </w:pPr>
      <w:r>
        <w:rPr>
          <w:rFonts w:ascii="맑은 고딕" w:hAnsi="맑은 고딕" w:eastAsia="맑은 고딕"/>
          <w:b w:val="0"/>
          <w:color w:val="1A1A1A"/>
          <w:sz w:val="19"/>
        </w:rPr>
        <w:t>[6] A. Vaswani et al., "Attention Is All You Need," in Advances in Neural Information Processing Systems 30, 2017.</w:t>
      </w:r>
    </w:p>
    <w:p>
      <w:pPr>
        <w:spacing w:after="80" w:line="312" w:lineRule="auto"/>
        <w:ind w:left="510" w:hanging="510"/>
      </w:pPr>
      <w:r>
        <w:rPr>
          <w:rFonts w:ascii="맑은 고딕" w:hAnsi="맑은 고딕" w:eastAsia="맑은 고딕"/>
          <w:b w:val="0"/>
          <w:color w:val="1A1A1A"/>
          <w:sz w:val="19"/>
        </w:rPr>
        <w:t>[7] P. Swartz, M. Grosskopf, D. R. Bingham et al., "The Quality of Pitches in Major League Baseball," The American Statistician, vol. 71, no. 2, pp. 148–154, 2017.</w:t>
      </w:r>
    </w:p>
    <w:p>
      <w:pPr>
        <w:spacing w:after="80" w:line="312" w:lineRule="auto"/>
        <w:ind w:left="510" w:hanging="510"/>
      </w:pPr>
      <w:r>
        <w:rPr>
          <w:rFonts w:ascii="맑은 고딕" w:hAnsi="맑은 고딕" w:eastAsia="맑은 고딕"/>
          <w:b w:val="0"/>
          <w:color w:val="1A1A1A"/>
          <w:sz w:val="19"/>
        </w:rPr>
        <w:t>[8] G. Sidle and H. Tran, "Using Multi-Class Classification Methods to Predict Baseball Pitch Types," Journal of Sports Analytics, vol. 4, no. 1, pp. 85–93, 2018.</w:t>
      </w:r>
    </w:p>
    <w:p>
      <w:pPr>
        <w:spacing w:after="80" w:line="312" w:lineRule="auto"/>
        <w:ind w:left="510" w:hanging="510"/>
      </w:pPr>
      <w:r>
        <w:rPr>
          <w:rFonts w:ascii="맑은 고딕" w:hAnsi="맑은 고딕" w:eastAsia="맑은 고딕"/>
          <w:b w:val="0"/>
          <w:color w:val="1A1A1A"/>
          <w:sz w:val="19"/>
        </w:rPr>
        <w:t>[9] A. Prasad, "Decoding MLB Pitch Sequencing Strategies via Directed Graph Embeddings," MIT Sloan Sports Analytics Conference, 2021.</w:t>
      </w:r>
    </w:p>
    <w:p>
      <w:pPr>
        <w:spacing w:after="80" w:line="312" w:lineRule="auto"/>
        <w:ind w:left="510" w:hanging="510"/>
      </w:pPr>
      <w:r>
        <w:rPr>
          <w:rFonts w:ascii="맑은 고딕" w:hAnsi="맑은 고딕" w:eastAsia="맑은 고딕"/>
          <w:b w:val="0"/>
          <w:color w:val="1A1A1A"/>
          <w:sz w:val="19"/>
        </w:rPr>
        <w:t>[10] MLB Advanced Media, "Statcast Data," Baseball Savant. [Online]. Available: https://baseballsavant.mlb.com</w:t>
      </w:r>
    </w:p>
    <w:p>
      <w:r>
        <w:br w:type="page"/>
      </w:r>
    </w:p>
    <w:p>
      <w:pPr>
        <w:spacing w:before="320" w:after="120"/>
      </w:pPr>
      <w:r>
        <w:rPr>
          <w:rFonts w:ascii="맑은 고딕" w:hAnsi="맑은 고딕" w:eastAsia="맑은 고딕"/>
          <w:b/>
          <w:color w:val="1A1A1A"/>
          <w:sz w:val="30"/>
        </w:rPr>
        <w:t>부록. 재현 방법</w:t>
      </w:r>
    </w:p>
    <w:p>
      <w:pPr>
        <w:spacing w:after="120"/>
        <w:ind w:firstLine="227"/>
      </w:pPr>
      <w:r>
        <w:rPr>
          <w:rFonts w:ascii="맑은 고딕" w:hAnsi="맑은 고딕" w:eastAsia="맑은 고딕"/>
          <w:b w:val="0"/>
          <w:i w:val="0"/>
          <w:color w:val="1A1A1A"/>
          <w:sz w:val="21"/>
        </w:rPr>
        <w:t>본 연구의 코드와 산출물은 아래 저장소에 공개되어 있다. 데이터 수집부터 학습, 산출물 생성까지 세 개의 노트북으로 재현할 수 있다.</w:t>
      </w:r>
    </w:p>
    <w:p>
      <w:pPr>
        <w:spacing w:before="80" w:after="160" w:line="276" w:lineRule="auto"/>
        <w:ind w:left="340"/>
      </w:pPr>
      <w:r>
        <w:rPr>
          <w:rFonts w:ascii="Consolas" w:hAnsi="Consolas" w:eastAsia="Consolas"/>
          <w:b w:val="0"/>
          <w:color w:val="333333"/>
          <w:sz w:val="18"/>
        </w:rPr>
        <w:t>https://github.com/hwangiljun/deeplearning_project</w:t>
      </w:r>
    </w:p>
    <w:tbl>
      <w:tblPr>
        <w:tblStyle w:val="TableGrid"/>
        <w:tblW w:type="auto" w:w="0"/>
        <w:jc w:val="center"/>
        <w:tblLook w:firstColumn="1" w:firstRow="1" w:lastColumn="0" w:lastRow="0" w:noHBand="0" w:noVBand="1" w:val="04A0"/>
      </w:tblPr>
      <w:tblGrid>
        <w:gridCol w:w="3097"/>
        <w:gridCol w:w="3097"/>
        <w:gridCol w:w="3097"/>
      </w:tblGrid>
      <w:tr>
        <w:tc>
          <w:tcPr>
            <w:tcW w:type="dxa" w:w="794"/>
          </w:tcPr>
          <w:p>
            <w:pPr>
              <w:spacing w:line="240" w:lineRule="auto" w:after="40"/>
              <w:jc w:val="center"/>
            </w:pPr>
            <w:r/>
            <w:r>
              <w:rPr>
                <w:rFonts w:ascii="맑은 고딕" w:hAnsi="맑은 고딕" w:eastAsia="맑은 고딕"/>
                <w:b/>
                <w:color w:val="1A1A1A"/>
                <w:sz w:val="19"/>
              </w:rPr>
              <w:t>단계</w:t>
            </w:r>
          </w:p>
        </w:tc>
        <w:tc>
          <w:tcPr>
            <w:tcW w:type="dxa" w:w="3969"/>
          </w:tcPr>
          <w:p>
            <w:pPr>
              <w:spacing w:line="240" w:lineRule="auto" w:after="40"/>
              <w:jc w:val="center"/>
            </w:pPr>
            <w:r/>
            <w:r>
              <w:rPr>
                <w:rFonts w:ascii="맑은 고딕" w:hAnsi="맑은 고딕" w:eastAsia="맑은 고딕"/>
                <w:b/>
                <w:color w:val="1A1A1A"/>
                <w:sz w:val="19"/>
              </w:rPr>
              <w:t>실행</w:t>
            </w:r>
          </w:p>
        </w:tc>
        <w:tc>
          <w:tcPr>
            <w:tcW w:type="dxa" w:w="3742"/>
          </w:tcPr>
          <w:p>
            <w:pPr>
              <w:spacing w:line="240" w:lineRule="auto" w:after="40"/>
              <w:jc w:val="center"/>
            </w:pPr>
            <w:r/>
            <w:r>
              <w:rPr>
                <w:rFonts w:ascii="맑은 고딕" w:hAnsi="맑은 고딕" w:eastAsia="맑은 고딕"/>
                <w:b/>
                <w:color w:val="1A1A1A"/>
                <w:sz w:val="19"/>
              </w:rPr>
              <w:t>내용</w:t>
            </w:r>
          </w:p>
        </w:tc>
      </w:tr>
      <w:tr>
        <w:tc>
          <w:tcPr>
            <w:tcW w:type="dxa" w:w="794"/>
          </w:tcPr>
          <w:p>
            <w:pPr>
              <w:spacing w:line="240" w:lineRule="auto" w:after="40"/>
              <w:jc w:val="left"/>
            </w:pPr>
            <w:r>
              <w:rPr>
                <w:rFonts w:ascii="맑은 고딕" w:hAnsi="맑은 고딕" w:eastAsia="맑은 고딕"/>
                <w:b w:val="0"/>
                <w:color w:val="1A1A1A"/>
                <w:sz w:val="19"/>
              </w:rPr>
              <w:t>1</w:t>
            </w:r>
          </w:p>
        </w:tc>
        <w:tc>
          <w:tcPr>
            <w:tcW w:type="dxa" w:w="3969"/>
          </w:tcPr>
          <w:p>
            <w:pPr>
              <w:spacing w:line="240" w:lineRule="auto" w:after="40"/>
              <w:jc w:val="center"/>
            </w:pPr>
            <w:r>
              <w:rPr>
                <w:rFonts w:ascii="맑은 고딕" w:hAnsi="맑은 고딕" w:eastAsia="맑은 고딕"/>
                <w:b w:val="0"/>
                <w:color w:val="1A1A1A"/>
                <w:sz w:val="19"/>
              </w:rPr>
              <w:t>notebooks/01_download_statcast.ipynb</w:t>
            </w:r>
          </w:p>
        </w:tc>
        <w:tc>
          <w:tcPr>
            <w:tcW w:type="dxa" w:w="3742"/>
          </w:tcPr>
          <w:p>
            <w:pPr>
              <w:spacing w:line="240" w:lineRule="auto" w:after="40"/>
              <w:jc w:val="center"/>
            </w:pPr>
            <w:r>
              <w:rPr>
                <w:rFonts w:ascii="맑은 고딕" w:hAnsi="맑은 고딕" w:eastAsia="맑은 고딕"/>
                <w:b w:val="0"/>
                <w:color w:val="1A1A1A"/>
                <w:sz w:val="19"/>
              </w:rPr>
              <w:t>2024·2025 정규시즌 수집</w:t>
            </w:r>
          </w:p>
        </w:tc>
      </w:tr>
      <w:tr>
        <w:tc>
          <w:tcPr>
            <w:tcW w:type="dxa" w:w="794"/>
          </w:tcPr>
          <w:p>
            <w:pPr>
              <w:spacing w:line="240" w:lineRule="auto" w:after="40"/>
              <w:jc w:val="left"/>
            </w:pPr>
            <w:r>
              <w:rPr>
                <w:rFonts w:ascii="맑은 고딕" w:hAnsi="맑은 고딕" w:eastAsia="맑은 고딕"/>
                <w:b w:val="0"/>
                <w:color w:val="1A1A1A"/>
                <w:sz w:val="19"/>
              </w:rPr>
              <w:t>2</w:t>
            </w:r>
          </w:p>
        </w:tc>
        <w:tc>
          <w:tcPr>
            <w:tcW w:type="dxa" w:w="3969"/>
          </w:tcPr>
          <w:p>
            <w:pPr>
              <w:spacing w:line="240" w:lineRule="auto" w:after="40"/>
              <w:jc w:val="center"/>
            </w:pPr>
            <w:r>
              <w:rPr>
                <w:rFonts w:ascii="맑은 고딕" w:hAnsi="맑은 고딕" w:eastAsia="맑은 고딕"/>
                <w:b w:val="0"/>
                <w:color w:val="1A1A1A"/>
                <w:sz w:val="19"/>
              </w:rPr>
              <w:t>notebooks/02_train.ipynb</w:t>
            </w:r>
          </w:p>
        </w:tc>
        <w:tc>
          <w:tcPr>
            <w:tcW w:type="dxa" w:w="3742"/>
          </w:tcPr>
          <w:p>
            <w:pPr>
              <w:spacing w:line="240" w:lineRule="auto" w:after="40"/>
              <w:jc w:val="center"/>
            </w:pPr>
            <w:r>
              <w:rPr>
                <w:rFonts w:ascii="맑은 고딕" w:hAnsi="맑은 고딕" w:eastAsia="맑은 고딕"/>
                <w:b w:val="0"/>
                <w:color w:val="1A1A1A"/>
                <w:sz w:val="19"/>
              </w:rPr>
              <w:t>학습 및 어블레이션 (GPU)</w:t>
            </w:r>
          </w:p>
        </w:tc>
      </w:tr>
      <w:tr>
        <w:tc>
          <w:tcPr>
            <w:tcW w:type="dxa" w:w="794"/>
          </w:tcPr>
          <w:p>
            <w:pPr>
              <w:spacing w:line="240" w:lineRule="auto" w:after="40"/>
              <w:jc w:val="left"/>
            </w:pPr>
            <w:r>
              <w:rPr>
                <w:rFonts w:ascii="맑은 고딕" w:hAnsi="맑은 고딕" w:eastAsia="맑은 고딕"/>
                <w:b w:val="0"/>
                <w:color w:val="1A1A1A"/>
                <w:sz w:val="19"/>
              </w:rPr>
              <w:t>3</w:t>
            </w:r>
          </w:p>
        </w:tc>
        <w:tc>
          <w:tcPr>
            <w:tcW w:type="dxa" w:w="3969"/>
          </w:tcPr>
          <w:p>
            <w:pPr>
              <w:spacing w:line="240" w:lineRule="auto" w:after="40"/>
              <w:jc w:val="center"/>
            </w:pPr>
            <w:r>
              <w:rPr>
                <w:rFonts w:ascii="맑은 고딕" w:hAnsi="맑은 고딕" w:eastAsia="맑은 고딕"/>
                <w:b w:val="0"/>
                <w:color w:val="1A1A1A"/>
                <w:sz w:val="19"/>
              </w:rPr>
              <w:t>notebooks/03_build_artifacts.ipynb</w:t>
            </w:r>
          </w:p>
        </w:tc>
        <w:tc>
          <w:tcPr>
            <w:tcW w:type="dxa" w:w="3742"/>
          </w:tcPr>
          <w:p>
            <w:pPr>
              <w:spacing w:line="240" w:lineRule="auto" w:after="40"/>
              <w:jc w:val="center"/>
            </w:pPr>
            <w:r>
              <w:rPr>
                <w:rFonts w:ascii="맑은 고딕" w:hAnsi="맑은 고딕" w:eastAsia="맑은 고딕"/>
                <w:b w:val="0"/>
                <w:color w:val="1A1A1A"/>
                <w:sz w:val="19"/>
              </w:rPr>
              <w:t>참조 테이블·프로파일·평가</w:t>
            </w:r>
          </w:p>
        </w:tc>
      </w:tr>
      <w:tr>
        <w:tc>
          <w:tcPr>
            <w:tcW w:type="dxa" w:w="794"/>
          </w:tcPr>
          <w:p>
            <w:pPr>
              <w:spacing w:line="240" w:lineRule="auto" w:after="40"/>
              <w:jc w:val="left"/>
            </w:pPr>
            <w:r>
              <w:rPr>
                <w:rFonts w:ascii="맑은 고딕" w:hAnsi="맑은 고딕" w:eastAsia="맑은 고딕"/>
                <w:b w:val="0"/>
                <w:color w:val="1A1A1A"/>
                <w:sz w:val="19"/>
              </w:rPr>
              <w:t>-</w:t>
            </w:r>
          </w:p>
        </w:tc>
        <w:tc>
          <w:tcPr>
            <w:tcW w:type="dxa" w:w="3969"/>
          </w:tcPr>
          <w:p>
            <w:pPr>
              <w:spacing w:line="240" w:lineRule="auto" w:after="40"/>
              <w:jc w:val="center"/>
            </w:pPr>
            <w:r>
              <w:rPr>
                <w:rFonts w:ascii="맑은 고딕" w:hAnsi="맑은 고딕" w:eastAsia="맑은 고딕"/>
                <w:b w:val="0"/>
                <w:color w:val="1A1A1A"/>
                <w:sz w:val="19"/>
              </w:rPr>
              <w:t>scripts/validate_pipeline.py</w:t>
            </w:r>
          </w:p>
        </w:tc>
        <w:tc>
          <w:tcPr>
            <w:tcW w:type="dxa" w:w="3742"/>
          </w:tcPr>
          <w:p>
            <w:pPr>
              <w:spacing w:line="240" w:lineRule="auto" w:after="40"/>
              <w:jc w:val="center"/>
            </w:pPr>
            <w:r>
              <w:rPr>
                <w:rFonts w:ascii="맑은 고딕" w:hAnsi="맑은 고딕" w:eastAsia="맑은 고딕"/>
                <w:b w:val="0"/>
                <w:color w:val="1A1A1A"/>
                <w:sz w:val="19"/>
              </w:rPr>
              <w:t>누수 차단 자동 검증</w:t>
            </w:r>
          </w:p>
        </w:tc>
      </w:tr>
      <w:tr>
        <w:tc>
          <w:tcPr>
            <w:tcW w:type="dxa" w:w="794"/>
          </w:tcPr>
          <w:p>
            <w:pPr>
              <w:spacing w:line="240" w:lineRule="auto" w:after="40"/>
              <w:jc w:val="left"/>
            </w:pPr>
            <w:r>
              <w:rPr>
                <w:rFonts w:ascii="맑은 고딕" w:hAnsi="맑은 고딕" w:eastAsia="맑은 고딕"/>
                <w:b w:val="0"/>
                <w:color w:val="1A1A1A"/>
                <w:sz w:val="19"/>
              </w:rPr>
              <w:t>-</w:t>
            </w:r>
          </w:p>
        </w:tc>
        <w:tc>
          <w:tcPr>
            <w:tcW w:type="dxa" w:w="3969"/>
          </w:tcPr>
          <w:p>
            <w:pPr>
              <w:spacing w:line="240" w:lineRule="auto" w:after="40"/>
              <w:jc w:val="center"/>
            </w:pPr>
            <w:r>
              <w:rPr>
                <w:rFonts w:ascii="맑은 고딕" w:hAnsi="맑은 고딕" w:eastAsia="맑은 고딕"/>
                <w:b w:val="0"/>
                <w:color w:val="1A1A1A"/>
                <w:sz w:val="19"/>
              </w:rPr>
              <w:t>streamlit run app.py</w:t>
            </w:r>
          </w:p>
        </w:tc>
        <w:tc>
          <w:tcPr>
            <w:tcW w:type="dxa" w:w="3742"/>
          </w:tcPr>
          <w:p>
            <w:pPr>
              <w:spacing w:line="240" w:lineRule="auto" w:after="40"/>
              <w:jc w:val="center"/>
            </w:pPr>
            <w:r>
              <w:rPr>
                <w:rFonts w:ascii="맑은 고딕" w:hAnsi="맑은 고딕" w:eastAsia="맑은 고딕"/>
                <w:b w:val="0"/>
                <w:color w:val="1A1A1A"/>
                <w:sz w:val="19"/>
              </w:rPr>
              <w:t>대시보드 실행</w:t>
            </w:r>
          </w:p>
        </w:tc>
      </w:tr>
    </w:tbl>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