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many procedures, such as an MRI, a knee replacement or an expensive drug,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Three to fourteen days is typical.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on 19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a deployable build, a second AI provider, and a deployment health check</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It was the paperwork around it. Almost all of the time that remains is cryptography rather than deciding: each authorization signs two messages, the request and the response, and one signature costs about 38 milliseconds. Checking a signature costs a twentieth of a millisecond. A more modern signature scheme would cut the decision into single figures. We have not switched, because 82 milliseconds is already far below anything a person notices.</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81.8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One signature, of the two every decision needs</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37.9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Checking a signature</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0.05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365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11.1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meaning 31 cents of every dollar is left after the direct cost of serving that customer.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which is the software that holds a patient's chart. That order starts everything below. No person touches any of the seven steps.</w:t>
      </w:r>
    </w:p>
    <w:p>
      <w:pPr>
        <w:keepNext w:val="0"/>
        <w:spacing w:before="0" w:after="120" w:lineRule="exact" w:line="331"/>
        <w:ind w:left="0" w:right="0"/>
        <w:jc w:val="both"/>
      </w:pPr>
      <w:r>
        <w:rPr>
          <w:b w:val="0"/>
          <w:i w:val="0"/>
          <w:sz w:val="24"/>
        </w:rPr>
        <w:t>The two sides talk over a small protocol of our own, called ARIA. It is deliberately dull. Each message is an envelope carrying its type, the sender, a timestamp, and the medical details in FHIR, the standard electronic format for health records that insurers are already required to accept. What matters is that every envelope is signed with the sender's private key, over a digest of the contents. A digest is a short fingerprint computed from every byte of a message, so altering a single character breaks the signature. Each organisation registers its public key once, and the receiving side looks that key up and checks it before reading anything else. The keys are RSA-2048, a long-established scheme in which each party keeps a private key it never shares and publishes a public key anyone can verify against. The private half is never stored here: it is handed back once when the organisation is created, and only a fingerprint of it is kept. A message that fails the check is refused outright and the refusal is written to the audit trail, so a rejection leaves as full a record as an approval does.</w:t>
      </w:r>
    </w:p>
    <w:p>
      <w:pPr>
        <w:keepNext/>
        <w:spacing w:before="90" w:after="45"/>
      </w:pPr>
      <w:r>
        <w:drawing>
          <wp:inline xmlns:a="http://schemas.openxmlformats.org/drawingml/2006/main" xmlns:pic="http://schemas.openxmlformats.org/drawingml/2006/picture">
            <wp:extent cx="5943600" cy="345401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4017"/>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such as reading a photograph of an insurance card,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that the patient is old enough, that the diagnosis is covered, and that the deductible condition is met. It does that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nine batches: one per phase, a round of fixes, and four more since Round 2 opened. Each was reviewed before being merged. Together they come to 22,459 lines of code across 238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cd0891a</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cd0891a 2026-09-19  Make a broken or stale deployment say so (#10)</w:t>
      </w:r>
      <w:r>
        <w:rPr>
          <w:rFonts w:ascii="Courier New" w:hAnsi="Courier New" w:cs="Courier New"/>
          <w:rFonts w:ascii="Courier New" w:hAnsi="Courier New"/>
          <w:sz w:val="16"/>
        </w:rPr>
        <w:br/>
        <w:t xml:space="preserve">  ee9ed87 2026-09-18  Fix the broken request detail page (#9)</w:t>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cd0891a</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16 commits  ·  238 file changes  ·  +22,459 insertions  ·  -646 deletions</w:t>
      </w:r>
    </w:p>
    <w:p>
      <w:pPr>
        <w:keepNext w:val="0"/>
        <w:spacing w:before="45" w:after="150" w:lineRule="exact" w:line="260"/>
        <w:ind w:left="0" w:right="0"/>
      </w:pPr>
      <w:r>
        <w:rPr>
          <w:b w:val="0"/>
          <w:i/>
          <w:sz w:val="21"/>
        </w:rPr>
        <w:t>Figure 2. The commit history. Each line is a batch of work that was reviewed and merged. Phase 1 was the largest at 9,429 lines. The four entries from 18 and 19 September make the system deployable to a public address, turn the demo into a full website, repair the request detail page, and make a broken deployment say so on screen.</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[ 20%]</w:t>
      </w:r>
      <w:r>
        <w:rPr>
          <w:rFonts w:ascii="Courier New" w:hAnsi="Courier New" w:cs="Courier New"/>
          <w:rFonts w:ascii="Courier New" w:hAnsi="Courier New"/>
          <w:sz w:val="16"/>
        </w:rPr>
        <w:br/>
        <w:t xml:space="preserve">.............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[ 62%]</w:t>
      </w:r>
      <w:r>
        <w:rPr>
          <w:rFonts w:ascii="Courier New" w:hAnsi="Courier New" w:cs="Courier New"/>
          <w:rFonts w:ascii="Courier New" w:hAnsi="Courier New"/>
          <w:sz w:val="16"/>
        </w:rPr>
        <w:br/>
        <w:t xml:space="preserve">...........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20.79s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on 19 September 2026, against the code in the log above.</w:t>
      </w:r>
    </w:p>
    <w:p>
      <w:pPr>
        <w:keepNext w:val="0"/>
        <w:spacing w:before="0" w:after="120" w:lineRule="exact" w:line="331"/>
        <w:ind w:left="0" w:right="0"/>
        <w:jc w:val="both"/>
      </w:pPr>
      <w:r>
        <w:rPr>
          <w:b w:val="0"/>
          <w:i w:val="0"/>
          <w:sz w:val="24"/>
        </w:rPr>
        <w:t>Both are served by the same build that would go to a customer. The interface is a Next.js application, which is a standard framework for building websites in JavaScript, and it talks to the Python backend over exactly the interface an insurer's software would use. Nothing in either screen is a special demonstration mode.</w:t>
      </w:r>
    </w:p>
    <w:p>
      <w:pPr>
        <w:keepNext w:val="0"/>
        <w:spacing w:before="0" w:after="120" w:lineRule="exact" w:line="331"/>
        <w:ind w:left="0" w:right="0"/>
        <w:jc w:val="both"/>
      </w:pPr>
      <w:r>
        <w:rPr>
          <w:b w:val="0"/>
          <w:i w:val="0"/>
          <w:sz w:val="24"/>
        </w:rPr>
        <w:t>Two additions merged in the last week are visible here. The first is a deployment health check: if the backend is unreachable or the build is misconfigured, the site says so on screen instead of showing empty counters, because a silent failure in a hospital otherwise looks like an ordinary quiet day. The second is a fallback to a second AI provider behind the assistive summaries, so an outage at one vendor cannot take those features down with it. Neither changes how a decision is made. Both exist so that a failure is visible rather than silent.</w:t>
      </w:r>
    </w:p>
    <w:tbl>
      <w:tblPr>
        <w:tblW w:type="auto" w:w="0"/>
        <w:jc w:val="center"/>
        <w:tblLayout w:type="fixed"/>
        <w:tblLook w:firstColumn="1" w:firstRow="1" w:lastColumn="0" w:lastRow="0" w:noHBand="0" w:noVBand="1" w:val="04A0"/>
        <w:tblLayout w:type="fixed"/>
        <w:tblInd w:w="0" w:type="dxa"/>
      </w:tblPr>
      <w:tblGrid>
        <w:gridCol w:w="4680"/>
        <w:gridCol w:w="4680"/>
      </w:tblGrid>
      <w:tr>
        <w:tc>
          <w:tcPr>
            <w:tcW w:type="dxa" w:w="4205"/>
            <w:tcMar>
              <w:top w:w="0" w:type="dxa"/>
              <w:start w:w="0" w:type="dxa"/>
              <w:bottom w:w="0" w:type="dxa"/>
              <w:end w:w="150" w:type="dxa"/>
            </w:tcMar>
          </w:tcPr>
          <w:p>
            <w:pPr>
              <w:spacing w:after="0" w:before="0"/>
            </w:pPr>
            <w:r>
              <w:drawing>
                <wp:inline xmlns:a="http://schemas.openxmlformats.org/drawingml/2006/main" xmlns:pic="http://schemas.openxmlformats.org/drawingml/2006/picture">
                  <wp:extent cx="2606040" cy="1621231"/>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606040" cy="1621231"/>
                          </a:xfrm>
                          <a:prstGeom prst="rect"/>
                          <a:ln w="9525">
                            <a:solidFill>
                              <a:srgbClr val="BBBBBB"/>
                            </a:solidFill>
                          </a:ln>
                        </pic:spPr>
                      </pic:pic>
                    </a:graphicData>
                  </a:graphic>
                </wp:inline>
              </w:drawing>
            </w:r>
          </w:p>
        </w:tc>
        <w:tc>
          <w:tcPr>
            <w:tcW w:type="dxa" w:w="4608"/>
            <w:tcMar>
              <w:top w:w="0" w:type="dxa"/>
              <w:start w:w="150" w:type="dxa"/>
              <w:bottom w:w="0" w:type="dxa"/>
              <w:end w:w="0" w:type="dxa"/>
            </w:tcMar>
          </w:tcPr>
          <w:p>
            <w:pPr>
              <w:spacing w:after="0" w:before="0"/>
            </w:pPr>
            <w:r>
              <w:drawing>
                <wp:inline xmlns:a="http://schemas.openxmlformats.org/drawingml/2006/main" xmlns:pic="http://schemas.openxmlformats.org/drawingml/2006/picture">
                  <wp:extent cx="2862072" cy="1614811"/>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62072" cy="1614811"/>
                          </a:xfrm>
                          <a:prstGeom prst="rect"/>
                          <a:ln w="9525">
                            <a:solidFill>
                              <a:srgbClr val="BBBBBB"/>
                            </a:solidFill>
                          </a:ln>
                        </pic:spPr>
                      </pic:pic>
                    </a:graphicData>
                  </a:graphic>
                </wp:inline>
              </w:drawing>
            </w:r>
          </w:p>
        </w:tc>
      </w:tr>
    </w:tbl>
    <w:p>
      <w:pPr>
        <w:keepNext w:val="0"/>
        <w:spacing w:before="45" w:after="60" w:lineRule="exact" w:line="230"/>
        <w:ind w:left="0" w:right="0"/>
        <w:jc w:val="both"/>
      </w:pPr>
      <w:r>
        <w:rPr>
          <w:b w:val="0"/>
          <w:i/>
          <w:sz w:val="19"/>
        </w:rPr>
        <w:t>Figures 4 and 5. Left: the guided demonstration after a single click; all six steps (order, identity, privacy proof, rules, decision, price) run with no further input and finish in 11.1 seconds, and the last of them prices the same operation at five facilities, a spread of $2,475 for identical care. Right: the dashboard, with the request form that sits between the counters and the table left out here. Every row carries the rule that produced it, and the two amber rows are knee replacements whose diagnosis did not match the covered condition; both wait for a human reviewer with the file already assembled.</w:t>
      </w:r>
    </w:p>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That is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Three spending lines across the plan come to more than the raise on their own: $7.46m of engineering, $5.67m of insurer business development and $1.72m of clinical staff encoding coverage rules.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p>
      <w:pPr>
        <w:keepNext/>
        <w:spacing w:before="255" w:after="90" w:lineRule="exact" w:line="331"/>
        <w:ind w:left="0" w:right="0"/>
      </w:pPr>
      <w:r>
        <w:rPr>
          <w:b/>
          <w:i w:val="0"/>
          <w:sz w:val="24"/>
        </w:rPr>
        <w:t>7. How to Check Any of This</w:t>
      </w:r>
    </w:p>
    <w:p>
      <w:pPr>
        <w:keepNext w:val="0"/>
        <w:spacing w:before="0" w:after="120" w:lineRule="exact" w:line="331"/>
        <w:ind w:left="0" w:right="0"/>
        <w:jc w:val="both"/>
      </w:pPr>
      <w:r>
        <w:rPr>
          <w:b w:val="0"/>
          <w:i w:val="0"/>
          <w:sz w:val="24"/>
        </w:rPr>
        <w:t xml:space="preserve">Nothing here has to be taken on trust. </w:t>
      </w:r>
      <w:r>
        <w:rPr>
          <w:rFonts w:ascii="Courier New" w:hAnsi="Courier New" w:cs="Courier New" w:eastAsia="Courier New"/>
          <w:rFonts w:ascii="Courier New" w:hAnsi="Courier New"/>
          <w:b w:val="0"/>
          <w:i w:val="0"/>
          <w:sz w:val="22"/>
        </w:rPr>
        <w:t>git log --shortstat cd0891a</w:t>
      </w:r>
      <w:r>
        <w:rPr>
          <w:rFonts w:ascii="Courier New" w:hAnsi="Courier New" w:cs="Courier New" w:eastAsia="Courier New"/>
          <w:rFonts w:ascii="Courier New" w:hAnsi="Courier New"/>
          <w:b w:val="0"/>
          <w:i w:val="0"/>
          <w:sz w:val="24"/>
        </w:rPr>
        <w:t xml:space="preserve"> reproduces the build figures in section 4.1, and </w:t>
      </w:r>
      <w:r>
        <w:rPr>
          <w:rFonts w:ascii="Courier New" w:hAnsi="Courier New" w:cs="Courier New" w:eastAsia="Courier New"/>
          <w:rFonts w:ascii="Courier New" w:hAnsi="Courier New"/>
          <w:b w:val="0"/>
          <w:i w:val="0"/>
          <w:sz w:val="22"/>
        </w:rPr>
        <w:t>.venv/bin/python -m pytest</w:t>
      </w:r>
      <w:r>
        <w:rPr>
          <w:rFonts w:ascii="Courier New" w:hAnsi="Courier New" w:cs="Courier New" w:eastAsia="Courier New"/>
          <w:rFonts w:ascii="Courier New" w:hAnsi="Courier New"/>
          <w:b w:val="0"/>
          <w:i w:val="0"/>
          <w:sz w:val="24"/>
        </w:rPr>
        <w:t xml:space="preserve"> reproduces the 148 passing tests in 4.2. Starting the backend and posting one request, with the command in the repository's README, returns the decision, the rule behind it and the confidence: the whole of section 3 in one response. The demonstration at </w:t>
      </w:r>
      <w:r>
        <w:rPr>
          <w:rFonts w:ascii="Courier New" w:hAnsi="Courier New" w:cs="Courier New" w:eastAsia="Courier New"/>
          <w:rFonts w:ascii="Courier New" w:hAnsi="Courier New"/>
          <w:b w:val="0"/>
          <w:i w:val="0"/>
          <w:sz w:val="22"/>
        </w:rPr>
        <w:t>/demo</w:t>
      </w:r>
      <w:r>
        <w:rPr>
          <w:rFonts w:ascii="Courier New" w:hAnsi="Courier New" w:cs="Courier New" w:eastAsia="Courier New"/>
          <w:rFonts w:ascii="Courier New" w:hAnsi="Courier New"/>
          <w:b w:val="0"/>
          <w:i w:val="0"/>
          <w:sz w:val="24"/>
        </w:rPr>
        <w:t xml:space="preserve"> runs the entire path end to end in about eleven seconds, and </w:t>
      </w:r>
      <w:r>
        <w:rPr>
          <w:rFonts w:ascii="Courier New" w:hAnsi="Courier New" w:cs="Courier New" w:eastAsia="Courier New"/>
          <w:rFonts w:ascii="Courier New" w:hAnsi="Courier New"/>
          <w:b w:val="0"/>
          <w:i w:val="0"/>
          <w:sz w:val="22"/>
        </w:rPr>
        <w:t>/audit</w:t>
      </w:r>
      <w:r>
        <w:rPr>
          <w:rFonts w:ascii="Courier New" w:hAnsi="Courier New" w:cs="Courier New" w:eastAsia="Courier New"/>
          <w:rFonts w:ascii="Courier New" w:hAnsi="Courier New"/>
          <w:b w:val="0"/>
          <w:i w:val="0"/>
          <w:sz w:val="24"/>
        </w:rPr>
        <w:t xml:space="preserve"> shows every message the two agents exchanged along the way.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