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Pavo Cloud Is</w:t>
      </w:r>
    </w:p>
    <w:p>
      <w:pPr>
        <w:keepNext w:val="0"/>
        <w:spacing w:before="0" w:after="120" w:lineRule="exact" w:line="331"/>
        <w:ind w:left="0" w:right="0"/>
        <w:jc w:val="both"/>
      </w:pPr>
      <w:r>
        <w:rPr>
          <w:b w:val="0"/>
          <w:i w:val="0"/>
          <w:sz w:val="24"/>
        </w:rPr>
        <w:t xml:space="preserve">Before a doctor can go ahead with a procedure, such as an MRI, a knee replacement or an expensive drug, the insurer has to agree to pay for it first. That permission step is called </w:t>
      </w:r>
      <w:r>
        <w:rPr>
          <w:b w:val="0"/>
          <w:i/>
          <w:sz w:val="24"/>
        </w:rPr>
        <w:t>prior authorization</w:t>
      </w:r>
      <w:r>
        <w:rPr>
          <w:b w:val="0"/>
          <w:i w:val="0"/>
          <w:sz w:val="24"/>
        </w:rPr>
        <w:t>. In principle, it is a check against the plan's coverage rules. In practice, it is a member of staff filling in a form, faxing it or retyping it into an insurer's portal, and then waiting around three to fourteen days, typically. The United States spends around $35 billion a year on this, and most of it buys nothing: the great majority of requests are approved in the end, just late.</w:t>
      </w:r>
    </w:p>
    <w:p>
      <w:pPr>
        <w:keepNext w:val="0"/>
        <w:spacing w:before="0" w:after="120" w:lineRule="exact" w:line="331"/>
        <w:ind w:left="0" w:right="0"/>
        <w:jc w:val="both"/>
      </w:pPr>
      <w:r>
        <w:rPr>
          <w:b w:val="0"/>
          <w:i w:val="0"/>
          <w:sz w:val="24"/>
        </w:rPr>
        <w:t>Pavo Cloud takes the person out of the start of that process. When a doctor places an order in the hospital's record system, our software assembles the request, signs it so the insurer can prove who sent it, and delivers it straight to the insurer's software. That side checks the signature, applies the insurer's own published coverage rules, and returns a decision naming the exact rule behind it. For a clear-cut request, no person is involved at any point.</w:t>
      </w:r>
    </w:p>
    <w:p>
      <w:pPr>
        <w:keepNext w:val="0"/>
        <w:spacing w:before="0" w:after="120" w:lineRule="exact" w:line="331"/>
        <w:ind w:left="0" w:right="0"/>
        <w:jc w:val="both"/>
      </w:pPr>
      <w:r>
        <w:rPr>
          <w:b w:val="0"/>
          <w:i w:val="0"/>
          <w:sz w:val="24"/>
        </w:rPr>
        <w:t xml:space="preserve">What happens when a request is </w:t>
      </w:r>
      <w:r>
        <w:rPr>
          <w:b w:val="0"/>
          <w:i/>
          <w:sz w:val="24"/>
        </w:rPr>
        <w:t>not</w:t>
      </w:r>
      <w:r>
        <w:rPr>
          <w:b w:val="0"/>
          <w:i w:val="0"/>
          <w:sz w:val="24"/>
        </w:rPr>
        <w:t xml:space="preserve"> clear-cut matters more. The software never guesses. If no coverage rule matches, if a signature fails, or if an appeal is not confident enough, the case stops and goes to a human reviewer with the whole file already assembled. No AI language model is allowed to decide an authorization, and the software cannot issue a final denial to a patient at all. Section 5 sets out that boundary in full. The company earns three ways: a fee per request, a monthly subscription per practice, and a yearly fee to insurers for the connection. Round 1 argued all of this was possible; this report is about the software that now does it.</w:t>
      </w:r>
    </w:p>
    <w:p>
      <w:pPr>
        <w:keepNext/>
        <w:spacing w:before="255" w:after="90" w:lineRule="exact" w:line="331"/>
        <w:ind w:left="0" w:right="0"/>
      </w:pPr>
      <w:r>
        <w:rPr>
          <w:b/>
          <w:i w:val="0"/>
          <w:sz w:val="24"/>
        </w:rPr>
        <w:t>2. What Changed Since Round 1</w:t>
      </w:r>
    </w:p>
    <w:p>
      <w:pPr>
        <w:keepNext/>
        <w:spacing w:before="210" w:after="75" w:lineRule="exact" w:line="331"/>
        <w:ind w:left="0" w:right="0"/>
      </w:pPr>
      <w:r>
        <w:rPr>
          <w:b/>
          <w:i w:val="0"/>
          <w:sz w:val="24"/>
        </w:rPr>
        <w:t>2.1 From an Argument to Working Software</w:t>
      </w:r>
    </w:p>
    <w:p>
      <w:pPr>
        <w:keepNext w:val="0"/>
        <w:spacing w:before="0" w:after="120" w:lineRule="exact" w:line="331"/>
        <w:ind w:left="0" w:right="0"/>
        <w:jc w:val="both"/>
      </w:pPr>
      <w:r>
        <w:rPr>
          <w:b w:val="0"/>
          <w:i w:val="0"/>
          <w:sz w:val="24"/>
        </w:rPr>
        <w:t>All four planned phases are built and running, and the system now has a public website and a deployable build on top of them. Every figure in this report was measured against the committed code leading up to the round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Since</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 public website, a deployable build, a second AI provider, and an interface pass for public release</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2.2 What the System Does, Measured</w:t>
      </w:r>
    </w:p>
    <w:p>
      <w:pPr>
        <w:keepNext w:val="0"/>
        <w:spacing w:before="0" w:after="120" w:lineRule="exact" w:line="331"/>
        <w:ind w:left="0" w:right="0"/>
        <w:jc w:val="both"/>
      </w:pPr>
      <w:r>
        <w:rPr>
          <w:b w:val="0"/>
          <w:i w:val="0"/>
          <w:sz w:val="24"/>
        </w:rPr>
        <w:t>Round 1 promised a decision in under five minutes. The software turned out to be a lot faster, because the slow part was never the thinking: it was the paperwork around it. Almost all of the time that remains is cryptography rather than deciding: each authorization signs two messages, the request and the response, and one signature costs about 42 milliseconds. Checking a signature costs a twentieth of a millisecond. A more modern signature scheme would cut the decision into single figures. We have not switched, because 89 milliseconds is already far below anything a person notices.</w:t>
      </w:r>
    </w:p>
    <w:p>
      <w:pPr>
        <w:keepNext/>
        <w:spacing w:before="150" w:after="60" w:lineRule="exact" w:line="331"/>
        <w:ind w:left="0" w:right="0"/>
      </w:pPr>
      <w:r>
        <w:rPr>
          <w:b w:val="0"/>
          <w:i/>
          <w:sz w:val="24"/>
        </w:rPr>
        <w:t>Table 2. Measured results.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88.6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One signature, of the two every decision needs</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42.0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Checking a signature</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0.05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401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148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148</w:t>
            </w:r>
          </w:p>
        </w:tc>
      </w:tr>
    </w:tbl>
    <w:p>
      <w:pPr>
        <w:spacing w:before="0" w:after="0" w:lineRule="exact" w:line="165"/>
      </w:pPr>
      <w:r>
        <w:rPr>
          <w:sz w:val="2"/>
        </w:rPr>
      </w:r>
    </w:p>
    <w:p>
      <w:pPr>
        <w:keepNext/>
        <w:spacing w:before="210" w:after="75" w:lineRule="exact" w:line="331"/>
        <w:ind w:left="0" w:right="0"/>
      </w:pPr>
      <w:r>
        <w:rPr>
          <w:b/>
          <w:i w:val="0"/>
          <w:sz w:val="24"/>
        </w:rPr>
        <w:t>2.3 Two Corrections to Round 1</w:t>
      </w:r>
    </w:p>
    <w:p>
      <w:pPr>
        <w:keepNext w:val="0"/>
        <w:spacing w:before="0" w:after="120" w:lineRule="exact" w:line="331"/>
        <w:ind w:left="0" w:right="0"/>
        <w:jc w:val="both"/>
      </w:pPr>
      <w:r>
        <w:rPr>
          <w:b w:val="0"/>
          <w:i w:val="0"/>
          <w:sz w:val="24"/>
        </w:rPr>
        <w:t xml:space="preserve">Two claims did not survive being built, however.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meaning 31 cents of every dollar is left after the direct cost of serving that customer. Early customers need a great deal of hand-holding. The 87% figure for year three held.</w:t>
      </w:r>
    </w:p>
    <w:p>
      <w:pPr>
        <w:keepNext/>
        <w:spacing w:before="255" w:after="90" w:lineRule="exact" w:line="331"/>
        <w:ind w:left="0" w:right="0"/>
      </w:pPr>
      <w:r>
        <w:rPr>
          <w:b/>
          <w:i w:val="0"/>
          <w:sz w:val="24"/>
        </w:rPr>
        <w:t>3. System Architecture 2.0</w:t>
      </w:r>
    </w:p>
    <w:p>
      <w:pPr>
        <w:keepNext/>
        <w:spacing w:before="210" w:after="75" w:lineRule="exact" w:line="331"/>
        <w:ind w:left="0" w:right="0"/>
      </w:pPr>
      <w:r>
        <w:rPr>
          <w:b/>
          <w:i w:val="0"/>
          <w:sz w:val="24"/>
        </w:rPr>
        <w:t>3.1 How One Request Moves Through the System</w:t>
      </w:r>
    </w:p>
    <w:p>
      <w:pPr>
        <w:keepNext w:val="0"/>
        <w:spacing w:before="0" w:after="120" w:lineRule="exact" w:line="331"/>
        <w:ind w:left="0" w:right="0"/>
        <w:jc w:val="both"/>
      </w:pPr>
      <w:r>
        <w:rPr>
          <w:b w:val="0"/>
          <w:i w:val="0"/>
          <w:sz w:val="24"/>
        </w:rPr>
        <w:t>A doctor places an order in the hospital's electronic health record, which is the software that holds a patient's chart. That order starts everything below. No person touches any of the seven steps.</w:t>
      </w:r>
    </w:p>
    <w:p>
      <w:pPr>
        <w:keepNext w:val="0"/>
        <w:spacing w:before="0" w:after="120" w:lineRule="exact" w:line="331"/>
        <w:ind w:left="0" w:right="0"/>
        <w:jc w:val="both"/>
      </w:pPr>
      <w:r>
        <w:rPr>
          <w:b w:val="0"/>
          <w:i w:val="0"/>
          <w:sz w:val="24"/>
        </w:rPr>
        <w:t>The two sides talk over a small protocol of our own, called ARIA. It is deliberately dull. Each message is an envelope carrying its type, the sender, a timestamp, and the medical details in FHIR, the standard electronic format for health records that insurers are already required to accept. What matters is that every envelope is signed with the sender's private key, over a digest of the contents. A digest is a short fingerprint computed from every byte of a message, so altering a single character breaks the signature. Each organisation registers its public key once, and the receiving side looks that key up and checks it before reading anything else. The keys are RSA-2048, a long-established scheme in which each party keeps a private key it never shares and publishes a public key anyone can verify against. The private half is never stored here: it is handed back once when the organisation is created, and only a fingerprint of it is kept. A message that fails the check is refused outright and the refusal is written to the audit trail, so a rejection leaves as full a record as an approval does.</w:t>
      </w:r>
    </w:p>
    <w:p>
      <w:pPr>
        <w:keepNext/>
        <w:spacing w:before="90" w:after="45"/>
      </w:pPr>
      <w:r>
        <w:drawing>
          <wp:inline xmlns:a="http://schemas.openxmlformats.org/drawingml/2006/main" xmlns:pic="http://schemas.openxmlformats.org/drawingml/2006/picture">
            <wp:extent cx="5943600" cy="3454017"/>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4017"/>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3.2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It is refused outright.</w:t>
      </w:r>
    </w:p>
    <w:p>
      <w:pPr>
        <w:keepNext/>
        <w:spacing w:before="210" w:after="75" w:lineRule="exact" w:line="331"/>
        <w:ind w:left="0" w:right="0"/>
      </w:pPr>
      <w:r>
        <w:rPr>
          <w:b/>
          <w:i w:val="0"/>
          <w:sz w:val="24"/>
        </w:rPr>
        <w:t>3.3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such as reading a photograph of an insurance card, and every result is scored before it is used.</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6.2).</w:t>
      </w:r>
    </w:p>
    <w:p>
      <w:pPr>
        <w:keepNext/>
        <w:spacing w:before="210" w:after="75" w:lineRule="exact" w:line="331"/>
        <w:ind w:left="0" w:right="0"/>
      </w:pPr>
      <w:r>
        <w:rPr>
          <w:b/>
          <w:i w:val="0"/>
          <w:sz w:val="24"/>
        </w:rPr>
        <w:t>3.4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3.5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that the patient is old enough, that the diagnosis is covered, and that the deductible condition is met. It does that </w:t>
      </w:r>
      <w:r>
        <w:rPr>
          <w:b w:val="0"/>
          <w:i/>
          <w:sz w:val="24"/>
        </w:rPr>
        <w:t>without receiving the age, the diagnosis or the amount</w:t>
      </w:r>
      <w:r>
        <w:rPr>
          <w:b w:val="0"/>
          <w:i w:val="0"/>
          <w:sz w:val="24"/>
        </w:rPr>
        <w:t>. One limitation is listed in Table 6.</w:t>
      </w:r>
    </w:p>
    <w:p>
      <w:pPr>
        <w:keepNext/>
        <w:spacing w:before="255" w:after="90" w:lineRule="exact" w:line="331"/>
        <w:ind w:left="0" w:right="0"/>
      </w:pPr>
      <w:r>
        <w:rPr>
          <w:b/>
          <w:i w:val="0"/>
          <w:sz w:val="24"/>
        </w:rPr>
        <w:t>4. The Build Log</w:t>
      </w:r>
    </w:p>
    <w:p>
      <w:pPr>
        <w:keepNext/>
        <w:spacing w:before="210" w:after="75" w:lineRule="exact" w:line="331"/>
        <w:ind w:left="0" w:right="0"/>
      </w:pPr>
      <w:r>
        <w:rPr>
          <w:b/>
          <w:i w:val="0"/>
          <w:sz w:val="24"/>
        </w:rPr>
        <w:t>4.1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eleven batches: one per phase, a round of fixes, and six more since Round 2 opened. Each was reviewed before being merged. Together they come to 22,739 lines added across 260 file changes, 15,871 of them hand-written and the rest a dependency lockfile.</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0a24def</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0a24def 2026-09-19  Document the setting that keeps the site private (#11)</w:t>
      </w:r>
      <w:r>
        <w:rPr>
          <w:rFonts w:ascii="Courier New" w:hAnsi="Courier New" w:cs="Courier New"/>
          <w:rFonts w:ascii="Courier New" w:hAnsi="Courier New"/>
          <w:sz w:val="16"/>
        </w:rPr>
        <w:br/>
        <w:t xml:space="preserve">  bb02bc4 2026-09-19  Give the site a real mark and take every error surface off it (#12)</w:t>
      </w:r>
      <w:r>
        <w:rPr>
          <w:rFonts w:ascii="Courier New" w:hAnsi="Courier New" w:cs="Courier New"/>
          <w:rFonts w:ascii="Courier New" w:hAnsi="Courier New"/>
          <w:sz w:val="16"/>
        </w:rPr>
        <w:br/>
        <w:t xml:space="preserve">  cd0891a 2026-09-19  Make a broken or stale deployment say so (#10)</w:t>
      </w:r>
      <w:r>
        <w:rPr>
          <w:rFonts w:ascii="Courier New" w:hAnsi="Courier New" w:cs="Courier New"/>
          <w:rFonts w:ascii="Courier New" w:hAnsi="Courier New"/>
          <w:sz w:val="16"/>
        </w:rPr>
        <w:br/>
        <w:t xml:space="preserve">  ee9ed87 2026-09-18  Fix the broken request detail page, and make every outcome reachable (#9)</w:t>
      </w:r>
      <w:r>
        <w:rPr>
          <w:rFonts w:ascii="Courier New" w:hAnsi="Courier New" w:cs="Courier New"/>
          <w:rFonts w:ascii="Courier New" w:hAnsi="Courier New"/>
          <w:sz w:val="16"/>
        </w:rPr>
        <w:br/>
        <w:t xml:space="preserve">  84c4ca5 2026-09-18  Turn the demo app into a full website (#8)</w:t>
      </w:r>
      <w:r>
        <w:rPr>
          <w:rFonts w:ascii="Courier New" w:hAnsi="Courier New" w:cs="Courier New"/>
          <w:rFonts w:ascii="Courier New" w:hAnsi="Courier New"/>
          <w:sz w:val="16"/>
        </w:rPr>
        <w:br/>
        <w:t xml:space="preserve">  8b23760 2026-09-18  Make the demo deployable to a public URL, and support DeepSeek (#6)</w:t>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0a24def</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18 commits  ·  260 file changes  ·  +22,739 insertions  ·  -1,215 deletions</w:t>
      </w:r>
    </w:p>
    <w:p>
      <w:pPr>
        <w:keepNext w:val="0"/>
        <w:spacing w:before="45" w:after="150" w:lineRule="exact" w:line="260"/>
        <w:ind w:left="0" w:right="0"/>
      </w:pPr>
      <w:r>
        <w:rPr>
          <w:b w:val="0"/>
          <w:i/>
          <w:sz w:val="21"/>
        </w:rPr>
        <w:t>Figure 2. The commit history. Each line is a batch of work that was reviewed and merged. The largest single batch is Phase 1 at 9,896 lines, though two thirds of that is a dependency lockfile rather than code anyone wrote; by hand-written lines the largest is Phase 4.</w:t>
      </w:r>
    </w:p>
    <w:p>
      <w:pPr>
        <w:keepNext/>
        <w:spacing w:before="210" w:after="75" w:lineRule="exact" w:line="331"/>
        <w:ind w:left="0" w:right="0"/>
      </w:pPr>
      <w:r>
        <w:rPr>
          <w:b/>
          <w:i w:val="0"/>
          <w:sz w:val="24"/>
        </w:rPr>
        <w:t>4.2 The Tests</w:t>
      </w:r>
    </w:p>
    <w:p>
      <w:pPr>
        <w:keepNext w:val="0"/>
        <w:spacing w:before="0" w:after="120" w:lineRule="exact" w:line="331"/>
        <w:ind w:left="0" w:right="0"/>
        <w:jc w:val="both"/>
      </w:pPr>
      <w:r>
        <w:rPr>
          <w:b w:val="0"/>
          <w:i w:val="0"/>
          <w:sz w:val="24"/>
        </w:rPr>
        <w:t>An automated test is a small program that checks the main program still behaves correctly. There are 148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tests/test_appeals.py ...........................................        [ 29%]</w:t>
      </w:r>
      <w:r>
        <w:rPr>
          <w:rFonts w:ascii="Courier New" w:hAnsi="Courier New" w:cs="Courier New"/>
          <w:rFonts w:ascii="Courier New" w:hAnsi="Courier New"/>
          <w:sz w:val="16"/>
        </w:rPr>
        <w:br/>
        <w:t xml:space="preserve">tests/test_flow.py ...................                                   [ 41%]</w:t>
      </w:r>
      <w:r>
        <w:rPr>
          <w:rFonts w:ascii="Courier New" w:hAnsi="Courier New" w:cs="Courier New"/>
          <w:rFonts w:ascii="Courier New" w:hAnsi="Courier New"/>
          <w:sz w:val="16"/>
        </w:rPr>
        <w:br/>
        <w:t xml:space="preserve">tests/test_insure.py ..........................................          [ 70%]</w:t>
      </w:r>
      <w:r>
        <w:rPr>
          <w:rFonts w:ascii="Courier New" w:hAnsi="Courier New" w:cs="Courier New"/>
          <w:rFonts w:ascii="Courier New" w:hAnsi="Courier New"/>
          <w:sz w:val="16"/>
        </w:rPr>
        <w:br/>
        <w:t xml:space="preserve">tests/test_persistence.py .......                                        [ 75%]</w:t>
      </w:r>
      <w:r>
        <w:rPr>
          <w:rFonts w:ascii="Courier New" w:hAnsi="Courier New" w:cs="Courier New"/>
          <w:rFonts w:ascii="Courier New" w:hAnsi="Courier New"/>
          <w:sz w:val="16"/>
        </w:rPr>
        <w:br/>
        <w:t xml:space="preserve">tests/test_rules.py ...............                                      [ 85%]</w:t>
      </w:r>
      <w:r>
        <w:rPr>
          <w:rFonts w:ascii="Courier New" w:hAnsi="Courier New" w:cs="Courier New"/>
          <w:rFonts w:ascii="Courier New" w:hAnsi="Courier New"/>
          <w:sz w:val="16"/>
        </w:rPr>
        <w:br/>
        <w:t xml:space="preserve">tests/test_zk.py ......................                                  [100%]</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148 passed, 1 warning in 23.28s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and a real patient identifier never reaches storage.</w:t>
      </w:r>
    </w:p>
    <w:p>
      <w:pPr>
        <w:keepNext/>
        <w:spacing w:before="210" w:after="75" w:lineRule="exact" w:line="331"/>
        <w:ind w:left="0" w:right="0"/>
      </w:pPr>
      <w:r>
        <w:rPr>
          <w:b/>
          <w:i w:val="0"/>
          <w:sz w:val="24"/>
        </w:rPr>
        <w:t>4.3 The System Running</w:t>
      </w:r>
    </w:p>
    <w:p>
      <w:pPr>
        <w:keepNext w:val="0"/>
        <w:spacing w:before="0" w:after="120" w:lineRule="exact" w:line="331"/>
        <w:ind w:left="0" w:right="0"/>
        <w:jc w:val="both"/>
      </w:pPr>
      <w:r>
        <w:rPr>
          <w:b w:val="0"/>
          <w:i w:val="0"/>
          <w:sz w:val="24"/>
        </w:rPr>
        <w:t>The screens below are the live software, not mock-ups. Both were captured against the code in the log above.</w:t>
      </w:r>
    </w:p>
    <w:p>
      <w:pPr>
        <w:keepNext w:val="0"/>
        <w:spacing w:before="0" w:after="120" w:lineRule="exact" w:line="331"/>
        <w:ind w:left="0" w:right="0"/>
        <w:jc w:val="both"/>
      </w:pPr>
      <w:r>
        <w:rPr>
          <w:b w:val="0"/>
          <w:i w:val="0"/>
          <w:sz w:val="24"/>
        </w:rPr>
        <w:t>Both are served by the same build that would go to a customer. The interface is a Next.js application, which is a standard framework for building websites in JavaScript, and it talks to the Python backend over exactly the interface an insurer's software would use. Nothing in either screen is a special demonstration mode.</w:t>
      </w:r>
    </w:p>
    <w:p>
      <w:pPr>
        <w:keepNext w:val="0"/>
        <w:spacing w:before="0" w:after="120" w:lineRule="exact" w:line="331"/>
        <w:ind w:left="0" w:right="0"/>
        <w:jc w:val="both"/>
      </w:pPr>
      <w:r>
        <w:rPr>
          <w:b w:val="0"/>
          <w:i w:val="0"/>
          <w:sz w:val="24"/>
        </w:rPr>
        <w:t>One addition merged in the last week is visible here: a fallback to a second AI provider behind the assistive summaries, so an outage at one vendor cannot take those features down with it. It does not change how a decision is made. A third change is not visible: the operator-facing diagnostics added in #10 were taken back out of the public build before release, leaving a deploy-time guard that fails the build outright if it is configured without its backend address.</w:t>
      </w:r>
    </w:p>
    <w:tbl>
      <w:tblPr>
        <w:tblW w:type="auto" w:w="0"/>
        <w:jc w:val="center"/>
        <w:tblLayout w:type="fixed"/>
        <w:tblLook w:firstColumn="1" w:firstRow="1" w:lastColumn="0" w:lastRow="0" w:noHBand="0" w:noVBand="1" w:val="04A0"/>
        <w:tblLayout w:type="fixed"/>
        <w:tblInd w:w="0" w:type="dxa"/>
      </w:tblPr>
      <w:tblGrid>
        <w:gridCol w:w="4680"/>
        <w:gridCol w:w="4680"/>
      </w:tblGrid>
      <w:tr>
        <w:tc>
          <w:tcPr>
            <w:tcW w:type="dxa" w:w="4205"/>
            <w:tcMar>
              <w:top w:w="0" w:type="dxa"/>
              <w:start w:w="0" w:type="dxa"/>
              <w:bottom w:w="0" w:type="dxa"/>
              <w:end w:w="150" w:type="dxa"/>
            </w:tcMar>
          </w:tcPr>
          <w:p>
            <w:pPr>
              <w:spacing w:after="0" w:before="0"/>
            </w:pPr>
            <w:r>
              <w:drawing>
                <wp:inline xmlns:a="http://schemas.openxmlformats.org/drawingml/2006/main" xmlns:pic="http://schemas.openxmlformats.org/drawingml/2006/picture">
                  <wp:extent cx="2606040" cy="1670609"/>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606040" cy="1670609"/>
                          </a:xfrm>
                          <a:prstGeom prst="rect"/>
                          <a:ln w="9525">
                            <a:solidFill>
                              <a:srgbClr val="BBBBBB"/>
                            </a:solidFill>
                          </a:ln>
                        </pic:spPr>
                      </pic:pic>
                    </a:graphicData>
                  </a:graphic>
                </wp:inline>
              </w:drawing>
            </w:r>
          </w:p>
        </w:tc>
        <w:tc>
          <w:tcPr>
            <w:tcW w:type="dxa" w:w="4608"/>
            <w:tcMar>
              <w:top w:w="0" w:type="dxa"/>
              <w:start w:w="150" w:type="dxa"/>
              <w:bottom w:w="0" w:type="dxa"/>
              <w:end w:w="0" w:type="dxa"/>
            </w:tcMar>
          </w:tcPr>
          <w:p>
            <w:pPr>
              <w:spacing w:after="0" w:before="0"/>
            </w:pPr>
            <w:r>
              <w:drawing>
                <wp:inline xmlns:a="http://schemas.openxmlformats.org/drawingml/2006/main" xmlns:pic="http://schemas.openxmlformats.org/drawingml/2006/picture">
                  <wp:extent cx="2862072" cy="2021527"/>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62072" cy="2021527"/>
                          </a:xfrm>
                          <a:prstGeom prst="rect"/>
                          <a:ln w="9525">
                            <a:solidFill>
                              <a:srgbClr val="BBBBBB"/>
                            </a:solidFill>
                          </a:ln>
                        </pic:spPr>
                      </pic:pic>
                    </a:graphicData>
                  </a:graphic>
                </wp:inline>
              </w:drawing>
            </w:r>
          </w:p>
        </w:tc>
      </w:tr>
    </w:tbl>
    <w:p>
      <w:pPr>
        <w:keepNext w:val="0"/>
        <w:spacing w:before="45" w:after="60" w:lineRule="exact" w:line="230"/>
        <w:ind w:left="0" w:right="0"/>
        <w:jc w:val="both"/>
      </w:pPr>
      <w:r>
        <w:rPr>
          <w:b w:val="0"/>
          <w:i/>
          <w:sz w:val="19"/>
        </w:rPr>
        <w:t>Figures 4 and 5. Left: the guided demonstration after a single click; all six steps (order, identity, privacy proof, rules, decision, price) run with no further input and finish in 11.0 seconds, and the last of them prices the same operation at all five facilities in the price file, showing the three cheapest; across all five the spread is $2,475 for identical care. Right: the dashboard, with the request form that sits between the counters and the table left out here. Every row carries the rule that produced it, and the two amber rows are knee replacements whose diagnosis did not match the covered condition; both wait for a human reviewer with the file already assembled.</w:t>
      </w:r>
    </w:p>
    <w:p>
      <w:pPr>
        <w:spacing w:before="0" w:after="0" w:lineRule="exact" w:line="80"/>
      </w:pPr>
      <w:r>
        <w:rPr>
          <w:sz w:val="2"/>
        </w:rPr>
      </w:r>
    </w:p>
    <w:p>
      <w:pPr>
        <w:keepNext/>
        <w:spacing w:before="255" w:after="90" w:lineRule="exact" w:line="331"/>
        <w:ind w:left="0" w:right="0"/>
      </w:pPr>
      <w:r>
        <w:rPr>
          <w:b/>
          <w:i w:val="0"/>
          <w:sz w:val="24"/>
        </w:rPr>
        <w:t>5. Risk Mitigation Protocol</w:t>
      </w:r>
    </w:p>
    <w:p>
      <w:pPr>
        <w:keepNext/>
        <w:spacing w:before="210" w:after="75" w:lineRule="exact" w:line="331"/>
        <w:ind w:left="0" w:right="0"/>
      </w:pPr>
      <w:r>
        <w:rPr>
          <w:b/>
          <w:i w:val="0"/>
          <w:sz w:val="24"/>
        </w:rPr>
        <w:t>5.1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5.2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The bottleneck Round 1 identified was never medical judgement. It was the paperwork wrapped around it.</w:t>
      </w:r>
    </w:p>
    <w:p>
      <w:pPr>
        <w:keepNext/>
        <w:spacing w:before="210" w:after="75" w:lineRule="exact" w:line="331"/>
        <w:ind w:left="0" w:right="0"/>
      </w:pPr>
      <w:r>
        <w:rPr>
          <w:b/>
          <w:i w:val="0"/>
          <w:sz w:val="24"/>
        </w:rPr>
        <w:t>5.3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6. Three-Year Financials</w:t>
      </w:r>
    </w:p>
    <w:p>
      <w:pPr>
        <w:keepNext/>
        <w:spacing w:before="210" w:after="75" w:lineRule="exact" w:line="331"/>
        <w:ind w:left="0" w:right="0"/>
      </w:pPr>
      <w:r>
        <w:rPr>
          <w:b/>
          <w:i w:val="0"/>
          <w:sz w:val="24"/>
        </w:rPr>
        <w:t>6.1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6.2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That is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6.3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At $2.30 back per $1 spent and fifteen months to recover it, insurer contracts do not pay for themselves as a product. We fund them anyway, because signing one insurer makes Pavo available to every practice that already submits to it. It is a distribution channel, not a profit centre.</w:t>
      </w:r>
    </w:p>
    <w:p>
      <w:pPr>
        <w:keepNext/>
        <w:spacing w:before="210" w:after="75" w:lineRule="exact" w:line="331"/>
        <w:ind w:left="0" w:right="0"/>
      </w:pPr>
      <w:r>
        <w:rPr>
          <w:b/>
          <w:i w:val="0"/>
          <w:sz w:val="24"/>
        </w:rPr>
        <w:t>6.4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trough with roughly twelve months of cushion past breaking even. It is not a shopping list. The three largest spending lines across the plan come to more than the raise on their own: $7.46m of engineering, $5.67m of insurer business development and $1.72m of clinical staff encoding coverage rules. Most of that is paid for out of revenue as it arrives. What the raise funds is the part that has to come before any revenue does: the start of the clinical rule library, the security certification no insurer will sign without, and the engineering to close the gaps in Table 6.</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p>
      <w:pPr>
        <w:keepNext/>
        <w:spacing w:before="255" w:after="90" w:lineRule="exact" w:line="331"/>
        <w:ind w:left="0" w:right="0"/>
      </w:pPr>
      <w:r>
        <w:rPr>
          <w:b/>
          <w:i w:val="0"/>
          <w:sz w:val="24"/>
        </w:rPr>
        <w:t>7. How to Check Any of This</w:t>
      </w:r>
    </w:p>
    <w:p>
      <w:pPr>
        <w:keepNext w:val="0"/>
        <w:spacing w:before="0" w:after="120" w:lineRule="exact" w:line="331"/>
        <w:ind w:left="0" w:right="0"/>
        <w:jc w:val="both"/>
      </w:pPr>
      <w:r>
        <w:rPr>
          <w:rFonts w:ascii="Courier New" w:hAnsi="Courier New" w:cs="Courier New" w:eastAsia="Courier New"/>
          <w:rFonts w:ascii="Courier New" w:hAnsi="Courier New"/>
          <w:b w:val="0"/>
          <w:i w:val="0"/>
          <w:sz w:val="22"/>
        </w:rPr>
        <w:t>git log --shortstat 0a24def</w:t>
      </w:r>
      <w:r>
        <w:rPr>
          <w:rFonts w:ascii="Courier New" w:hAnsi="Courier New" w:cs="Courier New" w:eastAsia="Courier New"/>
          <w:rFonts w:ascii="Courier New" w:hAnsi="Courier New"/>
          <w:b w:val="0"/>
          <w:i w:val="0"/>
          <w:sz w:val="24"/>
        </w:rPr>
        <w:t xml:space="preserve"> reproduces the build figures in section 4.1, and </w:t>
      </w:r>
      <w:r>
        <w:rPr>
          <w:rFonts w:ascii="Courier New" w:hAnsi="Courier New" w:cs="Courier New" w:eastAsia="Courier New"/>
          <w:rFonts w:ascii="Courier New" w:hAnsi="Courier New"/>
          <w:b w:val="0"/>
          <w:i w:val="0"/>
          <w:sz w:val="22"/>
        </w:rPr>
        <w:t>.venv/bin/python -m pytest</w:t>
      </w:r>
      <w:r>
        <w:rPr>
          <w:rFonts w:ascii="Courier New" w:hAnsi="Courier New" w:cs="Courier New" w:eastAsia="Courier New"/>
          <w:rFonts w:ascii="Courier New" w:hAnsi="Courier New"/>
          <w:b w:val="0"/>
          <w:i w:val="0"/>
          <w:sz w:val="24"/>
        </w:rPr>
        <w:t xml:space="preserve"> reproduces the 148 passing tests in 4.2. Starting the backend and posting one request, with the command in the repository's README, returns the decision, the rule behind it and the confidence: the whole of section 3 in one response. The demonstration at </w:t>
      </w:r>
      <w:r>
        <w:rPr>
          <w:rFonts w:ascii="Courier New" w:hAnsi="Courier New" w:cs="Courier New" w:eastAsia="Courier New"/>
          <w:rFonts w:ascii="Courier New" w:hAnsi="Courier New"/>
          <w:b w:val="0"/>
          <w:i w:val="0"/>
          <w:sz w:val="22"/>
        </w:rPr>
        <w:t>/demo</w:t>
      </w:r>
      <w:r>
        <w:rPr>
          <w:rFonts w:ascii="Courier New" w:hAnsi="Courier New" w:cs="Courier New" w:eastAsia="Courier New"/>
          <w:rFonts w:ascii="Courier New" w:hAnsi="Courier New"/>
          <w:b w:val="0"/>
          <w:i w:val="0"/>
          <w:sz w:val="24"/>
        </w:rPr>
        <w:t xml:space="preserve"> runs the entire path end to end in about eleven seconds, and </w:t>
      </w:r>
      <w:r>
        <w:rPr>
          <w:rFonts w:ascii="Courier New" w:hAnsi="Courier New" w:cs="Courier New" w:eastAsia="Courier New"/>
          <w:rFonts w:ascii="Courier New" w:hAnsi="Courier New"/>
          <w:b w:val="0"/>
          <w:i w:val="0"/>
          <w:sz w:val="22"/>
        </w:rPr>
        <w:t>/audit</w:t>
      </w:r>
      <w:r>
        <w:rPr>
          <w:rFonts w:ascii="Courier New" w:hAnsi="Courier New" w:cs="Courier New" w:eastAsia="Courier New"/>
          <w:rFonts w:ascii="Courier New" w:hAnsi="Courier New"/>
          <w:b w:val="0"/>
          <w:i w:val="0"/>
          <w:sz w:val="24"/>
        </w:rPr>
        <w:t xml:space="preserve"> shows every message the two agents exchanged along the way.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