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many procedures — an MRI, a knee replacement, an expensive drug —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on 19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explaining the system, a deployable build, and a second model provider</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 Taking the network out barely helps, which tells you the remaining time is signing and rule evaluation, not transport.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over the network,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83.8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decision with the network taken out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80.7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523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11.3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 xml:space="preserve">The two sides talk over a small protocol of our own, ARIA. It is deliberately dull: an envelope carrying the message type — </w:t>
      </w:r>
      <w:r>
        <w:rPr>
          <w:b w:val="0"/>
          <w:i/>
          <w:sz w:val="24"/>
        </w:rPr>
        <w:t>AUTH_REQUEST</w:t>
      </w:r>
      <w:r>
        <w:rPr>
          <w:b w:val="0"/>
          <w:i w:val="0"/>
          <w:sz w:val="24"/>
        </w:rPr>
        <w:t xml:space="preserve"> or </w:t>
      </w:r>
      <w:r>
        <w:rPr>
          <w:b w:val="0"/>
          <w:i/>
          <w:sz w:val="24"/>
        </w:rPr>
        <w:t>AUTH_RESPONSE</w:t>
      </w:r>
      <w:r>
        <w:rPr>
          <w:b w:val="0"/>
          <w:i w:val="0"/>
          <w:sz w:val="24"/>
        </w:rPr>
        <w:t xml:space="preserve"> — the sender, a timestamp, and the medical details in FHIR. What matters is that every envelope is signed with the sender's private key, over a digest of the whole contents, so altering a single character breaks the signature. Each organisation registers its public key once; the receiving side looks that key up and verifies before reading anything else. That is what lets two companies who have never spoken let their software transact without a person supervising it, and it is why the boundary in the diagram below falls where it does. The keys are RSA-2048, and the private half is never stored: it is handed back once when the organisation is created, and only a digest of it is kept afterwards. A message that fails verification is refused outright, and the refusal is written to the audit trail — so a rejection leaves as much of a record as an approval does.</w:t>
      </w:r>
    </w:p>
    <w:p>
      <w:pPr>
        <w:keepNext/>
        <w:spacing w:before="90" w:after="45"/>
      </w:pPr>
      <w:r>
        <w:drawing>
          <wp:inline xmlns:a="http://schemas.openxmlformats.org/drawingml/2006/main" xmlns:pic="http://schemas.openxmlformats.org/drawingml/2006/picture">
            <wp:extent cx="5943600" cy="34535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3592"/>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covered, and that the deductible condition is met —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seven batches — one per phase, a round of fixes, and two more since Round 2 opened — and each was reviewed before being merged. Together they come to 21,806 lines of code across 213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84c4ca5</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84c4ca5</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14 commits  ·  213 file changes  ·  +21,806 insertions  ·  -577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 The two entries from 18 September make the system deployable to a public URL and turn the demo into a full website.</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[ 20%]</w:t>
      </w:r>
      <w:r>
        <w:rPr>
          <w:rFonts w:ascii="Courier New" w:hAnsi="Courier New" w:cs="Courier New"/>
          <w:rFonts w:ascii="Courier New" w:hAnsi="Courier New"/>
          <w:sz w:val="16"/>
        </w:rPr>
        <w:br/>
        <w:t xml:space="preserve">.............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[ 62%]</w:t>
      </w:r>
      <w:r>
        <w:rPr>
          <w:rFonts w:ascii="Courier New" w:hAnsi="Courier New" w:cs="Courier New"/>
          <w:rFonts w:ascii="Courier New" w:hAnsi="Courier New"/>
          <w:sz w:val="16"/>
        </w:rPr>
        <w:br/>
        <w:t xml:space="preserve">...........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24.45s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on 19 September 2026, against the code in the log above.</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464"/>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770632" cy="1522389"/>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770632" cy="1522389"/>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11.3 seconds. The last step prices the same operation at five facilities: a spread of $2,475 for identical care.</w:t>
            </w:r>
          </w:p>
        </w:tc>
        <w:tc>
          <w:tcPr>
            <w:tcW w:type="dxa" w:w="4896"/>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3035808" cy="1521100"/>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3035808" cy="1521100"/>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with the request form that sits between the counters and the table left out here. Every row carries the rule that produced it. The two amber rows are knee replacements whose diagnosis did not match the covered condition; both wait for a human reviewer with the file already assembled.</w:t>
            </w:r>
          </w:p>
        </w:tc>
      </w:tr>
    </w:tbl>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 $7.46m of engineering, $5.67m of insurer business development and $1.72m of clinical staff encoding coverage rules — come to more than the raise on their own, and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b w:val="0"/>
          <w:i w:val="0"/>
          <w:sz w:val="24"/>
        </w:rPr>
        <w:t xml:space="preserve">Nothing here has to be taken on trust. </w:t>
      </w:r>
      <w:r>
        <w:rPr>
          <w:b w:val="0"/>
          <w:i w:val="0"/>
          <w:sz w:val="24"/>
        </w:rPr>
        <w:t>git log --shortstat 84c4ca5</w:t>
      </w:r>
      <w:r>
        <w:rPr>
          <w:b w:val="0"/>
          <w:i w:val="0"/>
          <w:sz w:val="24"/>
        </w:rPr>
        <w:t xml:space="preserve"> reproduces the build figures in section 4.1, and </w:t>
      </w:r>
      <w:r>
        <w:rPr>
          <w:b w:val="0"/>
          <w:i w:val="0"/>
          <w:sz w:val="24"/>
        </w:rPr>
        <w:t>.venv/bin/python -m pytest</w:t>
      </w:r>
      <w:r>
        <w:rPr>
          <w:b w:val="0"/>
          <w:i w:val="0"/>
          <w:sz w:val="24"/>
        </w:rPr>
        <w:t xml:space="preserve"> reproduces the 148 passing tests in 4.2. Starting the backend and posting one request — a single command, given in the repository's README — returns the decision, the rule that produced it and the confidence, which is the whole of section 3 in one response. The demonstration at </w:t>
      </w:r>
      <w:r>
        <w:rPr>
          <w:b w:val="0"/>
          <w:i w:val="0"/>
          <w:sz w:val="24"/>
        </w:rPr>
        <w:t>/demo</w:t>
      </w:r>
      <w:r>
        <w:rPr>
          <w:b w:val="0"/>
          <w:i w:val="0"/>
          <w:sz w:val="24"/>
        </w:rPr>
        <w:t xml:space="preserve"> runs the entire path end to end in about eleven seconds, and </w:t>
      </w:r>
      <w:r>
        <w:rPr>
          <w:b w:val="0"/>
          <w:i w:val="0"/>
          <w:sz w:val="24"/>
        </w:rPr>
        <w:t>/audit</w:t>
      </w:r>
      <w:r>
        <w:rPr>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