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many procedures — an MRI, a knee replacement, an expensive drug —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on 19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explaining the system, a deployable build, and a second model provider</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 Taking the network out barely helps, which tells you the remaining time is signing and rule evaluation, not transport.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over the network,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83.8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decision with the network taken out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80.7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523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11.3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spacing w:before="90" w:after="45"/>
      </w:pPr>
      <w:r>
        <w:drawing>
          <wp:inline xmlns:a="http://schemas.openxmlformats.org/drawingml/2006/main" xmlns:pic="http://schemas.openxmlformats.org/drawingml/2006/picture">
            <wp:extent cx="5943600" cy="34535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3592"/>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covered, and that the deductible condition is met —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seven batches — one per phase, a round of fixes, and two more since Round 2 opened — and each was reviewed before being merged. Together they come to 21,806 lines of code across 213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84c4ca5</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84c4ca5</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14 commits  ·  213 file changes  ·  +21,806 insertions  ·  -577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 The two entries from 18 September make the system deployable to a public URL and turn the demo into a full website.</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[ 20%]</w:t>
      </w:r>
      <w:r>
        <w:rPr>
          <w:rFonts w:ascii="Courier New" w:hAnsi="Courier New" w:cs="Courier New"/>
          <w:rFonts w:ascii="Courier New" w:hAnsi="Courier New"/>
          <w:sz w:val="16"/>
        </w:rPr>
        <w:br/>
        <w:t xml:space="preserve">.............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[ 62%]</w:t>
      </w:r>
      <w:r>
        <w:rPr>
          <w:rFonts w:ascii="Courier New" w:hAnsi="Courier New" w:cs="Courier New"/>
          <w:rFonts w:ascii="Courier New" w:hAnsi="Courier New"/>
          <w:sz w:val="16"/>
        </w:rPr>
        <w:br/>
        <w:t xml:space="preserve">...........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24.45s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on 19 September 2026, against the code in the log above.</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680"/>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834640" cy="1557560"/>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834640" cy="1557560"/>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11.3 seconds. The last step prices the same operation at five facilities: a spread of $2,475 for identical care.</w:t>
            </w:r>
          </w:p>
        </w:tc>
        <w:tc>
          <w:tcPr>
            <w:tcW w:type="dxa" w:w="4680"/>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2834640" cy="2055860"/>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34640" cy="2055860"/>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Every row carries the rule that produced it, in the RULE column. The two amber rows are knee replacements whose diagnosis did not match the covered condition; both wait for a human reviewer with their files already assembled. Average resolution across the eight: 42 milliseconds.</w:t>
            </w:r>
          </w:p>
        </w:tc>
      </w:tr>
    </w:tbl>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 $7.46m of engineering, $5.67m of insurer business development and $1.72m of clinical staff encoding coverage rules — come to more than the raise on their own, and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