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3.2.2 거시 조건 변수 (Macro Condition Path)</w:t>
      </w:r>
    </w:p>
    <w:p>
      <w:r>
        <w:t>모형 입력은 두 부분으로 나뉜다. 미래 13주 구간에는 단기금리·초과 유동성의 가상(반사실) 경로가 시나리오 조건으로 주입되고(Table 3.3 상단), 과거 52주 구간에는 5개 채널 전부의 실측값이 입력된다(Table 3.3 하단). 즉 본 모형의 반사실은 실현된 직전 상태 전체에 조건부이며, 과거 경로는 반사실 대상이 아니다. 초과 유동성(metab_13w)은 통화량 팽창 중 실물 생산·물가로 흡수되지 않은 비흡수 잔여량으로, 산식은 Table 3.4와 같다.</w:t>
      </w:r>
    </w:p>
    <w:p>
      <w:r>
        <w:t>Table 3.3: 모형 입력 구성 — 가상 조건 경로(반사실) vs 실측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변수</w:t>
            </w:r>
          </w:p>
        </w:tc>
        <w:tc>
          <w:tcPr>
            <w:tcW w:type="dxa" w:w="2160"/>
          </w:tcPr>
          <w:p>
            <w:r>
              <w:t>모형 변수</w:t>
            </w:r>
          </w:p>
        </w:tc>
        <w:tc>
          <w:tcPr>
            <w:tcW w:type="dxa" w:w="2160"/>
          </w:tcPr>
          <w:p>
            <w:r>
              <w:t>적용 구간</w:t>
            </w:r>
          </w:p>
        </w:tc>
      </w:tr>
      <w:tr>
        <w:tc>
          <w:tcPr>
            <w:tcW w:type="dxa" w:w="2160"/>
          </w:tcPr>
          <w:p>
            <w:r>
              <w:t>가상 조건 경로 (반사실 주입)</w:t>
            </w:r>
          </w:p>
        </w:tc>
        <w:tc>
          <w:tcPr>
            <w:tcW w:type="dxa" w:w="2160"/>
          </w:tcPr>
          <w:p>
            <w:r>
              <w:t>단기금리</w:t>
            </w:r>
          </w:p>
        </w:tc>
        <w:tc>
          <w:tcPr>
            <w:tcW w:type="dxa" w:w="2160"/>
          </w:tcPr>
          <w:p>
            <w:r>
              <w:t>tbill_wr</w:t>
            </w:r>
          </w:p>
        </w:tc>
        <w:tc>
          <w:tcPr>
            <w:tcW w:type="dxa" w:w="2160"/>
          </w:tcPr>
          <w:p>
            <w:r>
              <w:t>미래 13주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초과 유동성</w:t>
            </w:r>
          </w:p>
        </w:tc>
        <w:tc>
          <w:tcPr>
            <w:tcW w:type="dxa" w:w="2160"/>
          </w:tcPr>
          <w:p>
            <w:r>
              <w:t>metab_13w</w:t>
            </w:r>
          </w:p>
        </w:tc>
        <w:tc>
          <w:tcPr>
            <w:tcW w:type="dxa" w:w="2160"/>
          </w:tcPr>
          <w:p>
            <w:r>
              <w:t>미래 13주</w:t>
            </w:r>
          </w:p>
        </w:tc>
      </w:tr>
      <w:tr>
        <w:tc>
          <w:tcPr>
            <w:tcW w:type="dxa" w:w="2160"/>
          </w:tcPr>
          <w:p>
            <w:r>
              <w:t>실측 입력 (과거 52주, 전 채널)</w:t>
            </w:r>
          </w:p>
        </w:tc>
        <w:tc>
          <w:tcPr>
            <w:tcW w:type="dxa" w:w="2160"/>
          </w:tcPr>
          <w:p>
            <w:r>
              <w:t>주가 수익률</w:t>
            </w:r>
          </w:p>
        </w:tc>
        <w:tc>
          <w:tcPr>
            <w:tcW w:type="dxa" w:w="2160"/>
          </w:tcPr>
          <w:p>
            <w:r>
              <w:t>sp_return</w:t>
            </w:r>
          </w:p>
        </w:tc>
        <w:tc>
          <w:tcPr>
            <w:tcW w:type="dxa" w:w="2160"/>
          </w:tcPr>
          <w:p>
            <w:r>
              <w:t>과거 52주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단기금리</w:t>
            </w:r>
          </w:p>
        </w:tc>
        <w:tc>
          <w:tcPr>
            <w:tcW w:type="dxa" w:w="2160"/>
          </w:tcPr>
          <w:p>
            <w:r>
              <w:t>tbill_wr</w:t>
            </w:r>
          </w:p>
        </w:tc>
        <w:tc>
          <w:tcPr>
            <w:tcW w:type="dxa" w:w="2160"/>
          </w:tcPr>
          <w:p>
            <w:r>
              <w:t>과거 52주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초과 유동성</w:t>
            </w:r>
          </w:p>
        </w:tc>
        <w:tc>
          <w:tcPr>
            <w:tcW w:type="dxa" w:w="2160"/>
          </w:tcPr>
          <w:p>
            <w:r>
              <w:t>metab_13w</w:t>
            </w:r>
          </w:p>
        </w:tc>
        <w:tc>
          <w:tcPr>
            <w:tcW w:type="dxa" w:w="2160"/>
          </w:tcPr>
          <w:p>
            <w:r>
              <w:t>과거 52주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경기상황지수 (보조)</w:t>
            </w:r>
          </w:p>
        </w:tc>
        <w:tc>
          <w:tcPr>
            <w:tcW w:type="dxa" w:w="2160"/>
          </w:tcPr>
          <w:p>
            <w:r>
              <w:t>ads_lag</w:t>
            </w:r>
          </w:p>
        </w:tc>
        <w:tc>
          <w:tcPr>
            <w:tcW w:type="dxa" w:w="2160"/>
          </w:tcPr>
          <w:p>
            <w:r>
              <w:t>과거 52주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WTI 원유 (보조)</w:t>
            </w:r>
          </w:p>
        </w:tc>
        <w:tc>
          <w:tcPr>
            <w:tcW w:type="dxa" w:w="2160"/>
          </w:tcPr>
          <w:p>
            <w:r>
              <w:t>wti_wr</w:t>
            </w:r>
          </w:p>
        </w:tc>
        <w:tc>
          <w:tcPr>
            <w:tcW w:type="dxa" w:w="2160"/>
          </w:tcPr>
          <w:p>
            <w:r>
              <w:t>과거 52주</w:t>
            </w:r>
          </w:p>
        </w:tc>
      </w:tr>
      <w:tr>
        <w:tc>
          <w:tcPr>
            <w:tcW w:type="dxa" w:w="2160"/>
          </w:tcPr>
          <w:p>
            <w:r>
              <w:t>origin 고정 보조 (flow 맥락)</w:t>
            </w:r>
          </w:p>
        </w:tc>
        <w:tc>
          <w:tcPr>
            <w:tcW w:type="dxa" w:w="2160"/>
          </w:tcPr>
          <w:p>
            <w:r>
              <w:t>실현 변동성</w:t>
            </w:r>
          </w:p>
        </w:tc>
        <w:tc>
          <w:tcPr>
            <w:tcW w:type="dxa" w:w="2160"/>
          </w:tcPr>
          <w:p>
            <w:r>
              <w:t>sp_std_13w</w:t>
            </w:r>
          </w:p>
        </w:tc>
        <w:tc>
          <w:tcPr>
            <w:tcW w:type="dxa" w:w="2160"/>
          </w:tcPr>
          <w:p>
            <w:r>
              <w:t>origin 고정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실현 왜도</w:t>
            </w:r>
          </w:p>
        </w:tc>
        <w:tc>
          <w:tcPr>
            <w:tcW w:type="dxa" w:w="2160"/>
          </w:tcPr>
          <w:p>
            <w:r>
              <w:t>sp_skew_13w</w:t>
            </w:r>
          </w:p>
        </w:tc>
        <w:tc>
          <w:tcPr>
            <w:tcW w:type="dxa" w:w="2160"/>
          </w:tcPr>
          <w:p>
            <w:r>
              <w:t>origin 고정</w:t>
            </w:r>
          </w:p>
        </w:tc>
      </w:tr>
    </w:tbl>
    <w:p>
      <w:r>
        <w:t>주) 단기금리·초과 유동성은 과거(실측)와 미래(반사실 시나리오) 양쪽에 존재하며, 미래 13주 경로만 가정으로 주입된다. 미래 주가 수익률은 AR 롤아웃으로 생성되고, 보조 변수(ads_lag·wti_wr)는 미래 구간에서 마스킹된다. 변동성 스케일은 origin 시점 실현 변동성(sp_std_13w)에 고정된다.</w:t>
      </w:r>
    </w:p>
    <w:p>
      <w:r>
        <w:t>Table 3.4: 초과 유동성(metab_13w) 산식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정의</w:t>
            </w:r>
          </w:p>
        </w:tc>
      </w:tr>
      <w:tr>
        <w:tc>
          <w:tcPr>
            <w:tcW w:type="dxa" w:w="4320"/>
          </w:tcPr>
          <w:p>
            <w:r>
              <w:t>M2_13w_cum_lag</w:t>
            </w:r>
          </w:p>
        </w:tc>
        <w:tc>
          <w:tcPr>
            <w:tcW w:type="dxa" w:w="4320"/>
          </w:tcPr>
          <w:p>
            <w:r>
              <w:t>누적 통화량(M2 13주)의 변화 (log%)</w:t>
            </w:r>
          </w:p>
        </w:tc>
      </w:tr>
      <w:tr>
        <w:tc>
          <w:tcPr>
            <w:tcW w:type="dxa" w:w="4320"/>
          </w:tcPr>
          <w:p>
            <w:r>
              <w:t>INDPRO_13w_pct_lag</w:t>
            </w:r>
          </w:p>
        </w:tc>
        <w:tc>
          <w:tcPr>
            <w:tcW w:type="dxa" w:w="4320"/>
          </w:tcPr>
          <w:p>
            <w:r>
              <w:t>산업생산(INDPRO)의 13주 변화율</w:t>
            </w:r>
          </w:p>
        </w:tc>
      </w:tr>
      <w:tr>
        <w:tc>
          <w:tcPr>
            <w:tcW w:type="dxa" w:w="4320"/>
          </w:tcPr>
          <w:p>
            <w:r>
              <w:t>CPI_13w_cum_lag</w:t>
            </w:r>
          </w:p>
        </w:tc>
        <w:tc>
          <w:tcPr>
            <w:tcW w:type="dxa" w:w="4320"/>
          </w:tcPr>
          <w:p>
            <w:r>
              <w:t>소비자물가(CPI)의 13주 누적 변화 (log%)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