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23238F85" w:rsidR="00D934C8" w:rsidRDefault="00D934C8" w:rsidP="00D934C8">
      <w:pPr>
        <w:jc w:val="both"/>
      </w:pPr>
      <w:r>
        <w:t>Date Submitted:</w:t>
      </w:r>
      <w:r w:rsidR="00C26337">
        <w:t xml:space="preserve"> </w:t>
      </w:r>
      <w:r w:rsidR="005509BD">
        <w:t>10</w:t>
      </w:r>
      <w:r w:rsidR="005E4856">
        <w:t>-</w:t>
      </w:r>
      <w:r w:rsidR="00D54A59">
        <w:t>18</w:t>
      </w:r>
      <w:r w:rsidR="00C26337">
        <w:t>-20</w:t>
      </w:r>
      <w:r w:rsidR="009140DA">
        <w:t>21</w:t>
      </w:r>
    </w:p>
    <w:p w14:paraId="1829281E" w14:textId="3F7299C0" w:rsidR="00D934C8" w:rsidRDefault="00D934C8" w:rsidP="00D934C8">
      <w:pPr>
        <w:jc w:val="both"/>
      </w:pPr>
      <w:r>
        <w:t>Requested Date of Completion:</w:t>
      </w:r>
      <w:r w:rsidR="00C26337">
        <w:t xml:space="preserve"> </w:t>
      </w:r>
      <w:r w:rsidR="00913C0E">
        <w:t>ASAP</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46D1D078" w:rsidR="002E6189" w:rsidRDefault="00D934C8" w:rsidP="00D934C8">
      <w:pPr>
        <w:jc w:val="both"/>
      </w:pPr>
      <w:r>
        <w:t>Sample Name:</w:t>
      </w:r>
      <w:r w:rsidR="00C26337">
        <w:t xml:space="preserve"> </w:t>
      </w:r>
      <w:r w:rsidR="007D42A6">
        <w:t>LIB_Da_0</w:t>
      </w:r>
      <w:r w:rsidR="00D54A59">
        <w:t>3_ss</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4FFD7251"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7D42A6">
        <w:rPr>
          <w:b/>
        </w:rPr>
        <w:t>2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80330F" w14:textId="77777777" w:rsidR="006076C6" w:rsidRDefault="006076C6" w:rsidP="002A74EE">
      <w:r>
        <w:separator/>
      </w:r>
    </w:p>
  </w:endnote>
  <w:endnote w:type="continuationSeparator" w:id="0">
    <w:p w14:paraId="02AE0134" w14:textId="77777777" w:rsidR="006076C6" w:rsidRDefault="006076C6"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BBADFD" w14:textId="77777777" w:rsidR="006076C6" w:rsidRDefault="006076C6" w:rsidP="002A74EE">
      <w:r>
        <w:separator/>
      </w:r>
    </w:p>
  </w:footnote>
  <w:footnote w:type="continuationSeparator" w:id="0">
    <w:p w14:paraId="2F0D7E82" w14:textId="77777777" w:rsidR="006076C6" w:rsidRDefault="006076C6"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2F00B8"/>
    <w:rsid w:val="0030787C"/>
    <w:rsid w:val="00314B7D"/>
    <w:rsid w:val="003C5644"/>
    <w:rsid w:val="003E2EAD"/>
    <w:rsid w:val="003E460C"/>
    <w:rsid w:val="004127B2"/>
    <w:rsid w:val="00443564"/>
    <w:rsid w:val="00455D1B"/>
    <w:rsid w:val="004652C0"/>
    <w:rsid w:val="004B0D96"/>
    <w:rsid w:val="004B2CDD"/>
    <w:rsid w:val="004B4535"/>
    <w:rsid w:val="004B7E08"/>
    <w:rsid w:val="004E0AE4"/>
    <w:rsid w:val="005027D3"/>
    <w:rsid w:val="005509BD"/>
    <w:rsid w:val="00552C3E"/>
    <w:rsid w:val="005651CB"/>
    <w:rsid w:val="005E4856"/>
    <w:rsid w:val="006076C6"/>
    <w:rsid w:val="00610C18"/>
    <w:rsid w:val="0061457E"/>
    <w:rsid w:val="00627FD4"/>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66BD8"/>
    <w:rsid w:val="00973B0D"/>
    <w:rsid w:val="00985EBF"/>
    <w:rsid w:val="009B7FFD"/>
    <w:rsid w:val="00A01598"/>
    <w:rsid w:val="00A33EAF"/>
    <w:rsid w:val="00AC1559"/>
    <w:rsid w:val="00AE00B0"/>
    <w:rsid w:val="00AE5179"/>
    <w:rsid w:val="00B1449C"/>
    <w:rsid w:val="00B227EA"/>
    <w:rsid w:val="00B83ACE"/>
    <w:rsid w:val="00BB7BFA"/>
    <w:rsid w:val="00BC3D7C"/>
    <w:rsid w:val="00BD4FC8"/>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54A59"/>
    <w:rsid w:val="00D627E7"/>
    <w:rsid w:val="00D765F6"/>
    <w:rsid w:val="00D934C8"/>
    <w:rsid w:val="00DA62E8"/>
    <w:rsid w:val="00DC051E"/>
    <w:rsid w:val="00DF7D42"/>
    <w:rsid w:val="00E10648"/>
    <w:rsid w:val="00E4701E"/>
    <w:rsid w:val="00E62AAA"/>
    <w:rsid w:val="00E64ABA"/>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324</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2021-10-17T22:02:00Z</dcterms:created>
  <dcterms:modified xsi:type="dcterms:W3CDTF">2021-10-17T22:23:00Z</dcterms:modified>
</cp:coreProperties>
</file>