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4"/>
        </w:rPr>
        <w:t>表3-变量定义（单表汇总）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类型</w:t>
            </w:r>
          </w:p>
        </w:tc>
        <w:tc>
          <w:tcPr>
            <w:tcW w:type="dxa" w:w="3041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名称</w:t>
            </w:r>
          </w:p>
        </w:tc>
        <w:tc>
          <w:tcPr>
            <w:tcW w:type="dxa" w:w="3041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定义</w:t>
            </w:r>
          </w:p>
        </w:tc>
      </w:tr>
      <w:tr>
        <w:tc>
          <w:tcPr>
            <w:tcW w:type="dxa" w:w="3041"/>
            <w:vMerge w:val="restart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响应变量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Dividend_ratio1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股利支付率 = 每股现金股利 / 每股收益（EPS&lt;=0 时赋值为 0）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Dividend_ratio2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股利收益率 = 每股现金股利 / 每股股价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Dividend_ratio3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股利/资产比 = 现金股利总额 / 总资产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Dividend</w:t>
            </w:r>
          </w:p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是否发放现金股利：当年发放现金股利取 1，否则取 0</w:t>
            </w:r>
          </w:p>
        </w:tc>
      </w:tr>
      <w:tr>
        <w:tc>
          <w:tcPr>
            <w:tcW w:type="dxa" w:w="3041"/>
            <w:vMerge w:val="restart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第一类代理问题相关特征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Managefee_ratio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管理费用率 = 管理费用 / 营业收入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Manageshare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管理层持股比例 = 管理层持股数 / 总股数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Indep_ratio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独立董事比例 = 独立董事人数 / 董事会总人数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Bgender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董事会女性比例 = 女性董事人数 / 董事会总人数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Bshare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董事长持股比例 = 董事长直接持股 / 总股本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Bage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董事长年龄（ln）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Btenure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董事长任期（月数，ln）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Bsalary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董事长薪酬（年度薪酬总额，ln）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Equity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股权激励虚拟变量：当年实施股权激励取 1，否则取 0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Da_abs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财务报告质量：修正 Jones 模型残差绝对值（操纵性应计）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Tunneling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其他应收款资产比 = 其他应收款 / 总资产（掏空代理变量）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Top1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股权集中度 = 第一大股东持股比例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Sharebalance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股权制衡度 = 第 2 至第 5 大股东持股和 / 第 1 大股东持股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Minorityrate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中小股东持股比例 = 非前十大股东持股比例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Institution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机构投资者持股比例 = 机构投资者合计持股比例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Pledge</w:t>
            </w:r>
          </w:p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控股股东股权质押比例 = 控股股东质押股数 / 控股股东持股数</w:t>
            </w:r>
          </w:p>
        </w:tc>
      </w:tr>
      <w:tr>
        <w:tc>
          <w:tcPr>
            <w:tcW w:type="dxa" w:w="3041"/>
            <w:vMerge w:val="restart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第二类生命周期与盈利能力特征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Retainedearn_ratio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留存收益资产比 = 留存收益 / 总资产（生命周期代理变量）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ROA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资产收益率 = 净利润 / 总资产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Cashflow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每股经营活动现金流量 = 经营活动净现金流 / 总股数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Freecash2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自由现金流 = 自由现金流量 / 总资产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Growth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销售增长率 = (本期营业收入 - 上期营业收入) / 上期营业收入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Dividend_lag</w:t>
            </w:r>
          </w:p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上一期股利水平 = 上年度股利支付率</w:t>
            </w:r>
          </w:p>
        </w:tc>
      </w:tr>
      <w:tr>
        <w:tc>
          <w:tcPr>
            <w:tcW w:type="dxa" w:w="3041"/>
            <w:vMerge w:val="restart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第三类税收与融资约束特征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Tax_avoid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税收规避程度 = 法定税率与实际税率之差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Tax_ratio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实际税率 = 所得税费用 / 利润总额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Tax_volatility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纳税波动率 = 近三年实际税率标准差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Constraint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融资约束程度 = KZ 指数（数值越大约束越强）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Refinance</w:t>
            </w:r>
          </w:p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再融资动机：当年有再融资行为取 1，否则取 0</w:t>
            </w:r>
          </w:p>
        </w:tc>
      </w:tr>
      <w:tr>
        <w:tc>
          <w:tcPr>
            <w:tcW w:type="dxa" w:w="3041"/>
            <w:vMerge w:val="restart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第四类市场环境与估值特征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Sentiment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投资者情绪：Baker-Wurgler 情绪指标（中国版）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Tobinq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托宾 Q = (股票市值 + 负债账面值) / 总资产账面值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BM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账面市值比 = 所有者权益 / 股票市值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Lev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资产负债率 = 总负债 / 总资产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Lnsize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公司规模 = ln(总资产)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Analyst_num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分析师跟踪人数 = ln(1 + 跟踪分析师人数)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Market_idx</w:t>
            </w:r>
          </w:p>
        </w:tc>
        <w:tc>
          <w:tcPr>
            <w:tcW w:type="dxa" w:w="3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市场化程度 = 公司所在省份市场化指数</w:t>
            </w:r>
          </w:p>
        </w:tc>
      </w:tr>
      <w:tr>
        <w:tc>
          <w:tcPr>
            <w:tcW w:type="dxa" w:w="3041"/>
            <w:vMerge/>
          </w:tcPr>
          <w:p/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Soe</w:t>
            </w:r>
          </w:p>
        </w:tc>
        <w:tc>
          <w:tcPr>
            <w:tcW w:type="dxa" w:w="3041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产权性质：国有控股取 1，否则取 0</w:t>
            </w:r>
          </w:p>
        </w:tc>
      </w:tr>
      <w:tr>
        <w:tc>
          <w:tcPr>
            <w:tcW w:type="dxa" w:w="3041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行业控制变量</w:t>
            </w:r>
          </w:p>
        </w:tc>
        <w:tc>
          <w:tcPr>
            <w:tcW w:type="dxa" w:w="3041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ind1-ind42</w:t>
            </w:r>
          </w:p>
        </w:tc>
        <w:tc>
          <w:tcPr>
            <w:tcW w:type="dxa" w:w="3041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按证监会行业分类设置行业虚拟变量，共 36 个（缺编号 6/9/10/13/14/36）</w:t>
            </w:r>
          </w:p>
        </w:tc>
      </w:tr>
    </w:tbl>
    <w:p>
      <w:r>
        <w:rPr>
          <w:rFonts w:ascii="Times New Roman" w:hAnsi="Times New Roman" w:eastAsia="宋体"/>
          <w:b w:val="0"/>
          <w:sz w:val="18"/>
        </w:rPr>
        <w:t>注：本表汇总第3章机器学习预测部分所用核心变量。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