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4"/>
        </w:rPr>
        <w:t>第四章 变量定义（三线表）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变量类型</w:t>
            </w:r>
          </w:p>
        </w:tc>
        <w:tc>
          <w:tcPr>
            <w:tcW w:type="dxa" w:w="2280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变量符号</w:t>
            </w:r>
          </w:p>
        </w:tc>
        <w:tc>
          <w:tcPr>
            <w:tcW w:type="dxa" w:w="2280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变量名称</w:t>
            </w:r>
          </w:p>
        </w:tc>
        <w:tc>
          <w:tcPr>
            <w:tcW w:type="dxa" w:w="2280"/>
            <w:tcBorders>
              <w:top w:val="single" w:sz="8" w:space="0" w:color="000000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变量定义</w:t>
            </w:r>
          </w:p>
        </w:tc>
      </w:tr>
      <w:tr>
        <w:tc>
          <w:tcPr>
            <w:tcW w:type="dxa" w:w="2280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因变量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DivDummy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现金分红意愿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若企业当年选择进行现金分红，则取值为1，否则为0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DivPayRate</w:t>
            </w:r>
          </w:p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现金分红水平</w:t>
            </w:r>
          </w:p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股利支付率 = 企业当年现金分红总额 / 归属于母公司股东的净利润</w:t>
            </w:r>
          </w:p>
        </w:tc>
      </w:tr>
      <w:tr>
        <w:tc>
          <w:tcPr>
            <w:tcW w:type="dxa" w:w="2280"/>
            <w:vMerge w:val="restart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自变量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Treat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政策作用对象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若企业在2020-2022年平均派现总额低于年均净利润的30%，或累计派现总额低于5000万元，则取值为1，否则为0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政策实施时间</w:t>
            </w:r>
          </w:p>
        </w:tc>
        <w:tc>
          <w:tcPr>
            <w:tcW w:type="dxa" w:w="2280"/>
            <w:tcBorders>
              <w:top w:val="nil"/>
              <w:bottom w:val="single" w:sz="4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在2023年及之后取值为1，否则为0</w:t>
            </w:r>
          </w:p>
        </w:tc>
      </w:tr>
      <w:tr>
        <w:tc>
          <w:tcPr>
            <w:tcW w:type="dxa" w:w="2280"/>
            <w:vMerge w:val="restart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控制变量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SIZE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公司规模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企业总资产的自然对数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AGE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上市年龄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企业上市年限的自然对数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LEV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杠杆率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企业总负债 / 总资产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ROA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盈利能力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净利润 / 总资产年末余额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GROWTH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成长能力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企业营业收入增长率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CFO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现金流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经营活动产生的现金流量净额 / 资产总额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TOP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股权集中度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前五大股东持股比例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INDEP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独董比例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独立董事人数占董事会总人数的比例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MH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管理层持股比例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管理层持股数 / 总股数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HHI_BANK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地区银行业竞争程度</w:t>
            </w:r>
          </w:p>
        </w:tc>
        <w:tc>
          <w:tcPr>
            <w:tcW w:type="dxa" w:w="228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根据各年各银行在各城市分支机构数量计算得到的赫芬达尔指数</w:t>
            </w:r>
          </w:p>
        </w:tc>
      </w:tr>
      <w:tr>
        <w:tc>
          <w:tcPr>
            <w:tcW w:type="dxa" w:w="2280"/>
            <w:vMerge/>
          </w:tcPr>
          <w:p/>
        </w:tc>
        <w:tc>
          <w:tcPr>
            <w:tcW w:type="dxa" w:w="2280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MKT</w:t>
            </w:r>
          </w:p>
        </w:tc>
        <w:tc>
          <w:tcPr>
            <w:tcW w:type="dxa" w:w="2280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地区市场化程度</w:t>
            </w:r>
          </w:p>
        </w:tc>
        <w:tc>
          <w:tcPr>
            <w:tcW w:type="dxa" w:w="2280"/>
            <w:tcBorders>
              <w:top w:val="nil"/>
              <w:bottom w:val="single" w:sz="8" w:space="0" w:color="000000"/>
              <w:left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樊纲各省市场化指数</w:t>
            </w:r>
          </w:p>
        </w:tc>
      </w:tr>
    </w:tbl>
    <w:p>
      <w:r>
        <w:rPr>
          <w:rFonts w:ascii="Times New Roman" w:hAnsi="Times New Roman" w:eastAsia="宋体"/>
          <w:b w:val="0"/>
          <w:sz w:val="18"/>
        </w:rPr>
        <w:t>注：核心政策变量通过 Treat 与 Post 的交互项识别。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