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Supplementary Methods for: When does N-acetylcysteine stop working? Treatment timing, ingestion pattern, and hepatic zonation in a model of acetaminophen hepatotoxicity</w:t>
      </w:r>
    </w:p>
    <w:p>
      <w:pPr>
        <w:jc w:val="center"/>
      </w:pPr>
      <w:r>
        <w:rPr>
          <w:i/>
          <w:color w:val="666666"/>
          <w:sz w:val="20"/>
        </w:rPr>
        <w:t>Separate supplementary file — not part of the main manuscript</w:t>
      </w:r>
    </w:p>
    <w:p>
      <w:pPr>
        <w:pStyle w:val="Heading1"/>
      </w:pPr>
      <w:r>
        <w:t>S1. Scenario treatment: the constant-boost NAC upper bound</w:t>
      </w:r>
    </w:p>
    <w:p>
      <w:r>
        <w:rPr>
          <w:b w:val="0"/>
          <w:i w:val="0"/>
        </w:rPr>
        <w:t>The main text uses the calibrated, protocol-driven NAC input (plasma profile of the 21-h IV protocol → cysteine-equivalent pool → synthesis boost peaking at M_max = 4). An upper-bound scenario holds the peak boost flat for the full 21-h window, decoupled from plasma pharmacokinetics. Protection under the two representations: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i w:val="0"/>
              </w:rPr>
              <w:t>Gradients</w:t>
            </w:r>
          </w:p>
        </w:tc>
        <w:tc>
          <w:tcPr>
            <w:tcW w:type="dxa" w:w="960"/>
          </w:tcPr>
          <w:p>
            <w:r>
              <w:rPr>
                <w:b/>
                <w:i w:val="0"/>
              </w:rPr>
              <w:t>Dose</w:t>
            </w:r>
          </w:p>
        </w:tc>
        <w:tc>
          <w:tcPr>
            <w:tcW w:type="dxa" w:w="960"/>
          </w:tcPr>
          <w:p>
            <w:r>
              <w:rPr>
                <w:b/>
                <w:i w:val="0"/>
              </w:rPr>
              <w:t>0 h</w:t>
            </w:r>
          </w:p>
        </w:tc>
        <w:tc>
          <w:tcPr>
            <w:tcW w:type="dxa" w:w="960"/>
          </w:tcPr>
          <w:p>
            <w:r>
              <w:rPr>
                <w:b/>
                <w:i w:val="0"/>
              </w:rPr>
              <w:t>2 h</w:t>
            </w:r>
          </w:p>
        </w:tc>
        <w:tc>
          <w:tcPr>
            <w:tcW w:type="dxa" w:w="960"/>
          </w:tcPr>
          <w:p>
            <w:r>
              <w:rPr>
                <w:b/>
                <w:i w:val="0"/>
              </w:rPr>
              <w:t>4 h</w:t>
            </w:r>
          </w:p>
        </w:tc>
        <w:tc>
          <w:tcPr>
            <w:tcW w:type="dxa" w:w="960"/>
          </w:tcPr>
          <w:p>
            <w:r>
              <w:rPr>
                <w:b/>
                <w:i w:val="0"/>
              </w:rPr>
              <w:t>6 h</w:t>
            </w:r>
          </w:p>
        </w:tc>
        <w:tc>
          <w:tcPr>
            <w:tcW w:type="dxa" w:w="960"/>
          </w:tcPr>
          <w:p>
            <w:r>
              <w:rPr>
                <w:b/>
                <w:i w:val="0"/>
              </w:rPr>
              <w:t>8 h</w:t>
            </w:r>
          </w:p>
        </w:tc>
        <w:tc>
          <w:tcPr>
            <w:tcW w:type="dxa" w:w="960"/>
          </w:tcPr>
          <w:p>
            <w:r>
              <w:rPr>
                <w:b/>
                <w:i w:val="0"/>
              </w:rPr>
              <w:t>10 h</w:t>
            </w:r>
          </w:p>
        </w:tc>
        <w:tc>
          <w:tcPr>
            <w:tcW w:type="dxa" w:w="960"/>
          </w:tcPr>
          <w:p>
            <w:r>
              <w:rPr>
                <w:b/>
                <w:i w:val="0"/>
              </w:rPr>
              <w:t>12 h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i w:val="0"/>
              </w:rPr>
              <w:t>assumed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4 g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85%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52%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24%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9%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2%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0%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i w:val="0"/>
              </w:rPr>
              <w:t>assumed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16 g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45%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33%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21%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9%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3%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0%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i w:val="0"/>
              </w:rPr>
              <w:t>measured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4 g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89%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82%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70%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46%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16%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3%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0%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i w:val="0"/>
              </w:rPr>
              <w:t>measured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16 g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56%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44%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32%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20%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9%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2%</w:t>
            </w:r>
          </w:p>
        </w:tc>
        <w:tc>
          <w:tcPr>
            <w:tcW w:type="dxa" w:w="960"/>
          </w:tcPr>
          <w:p>
            <w:r>
              <w:rPr>
                <w:b w:val="0"/>
                <w:i w:val="0"/>
              </w:rPr>
              <w:t>0%</w:t>
            </w:r>
          </w:p>
        </w:tc>
      </w:tr>
    </w:tbl>
    <w:p>
      <w:r>
        <w:rPr>
          <w:b w:val="0"/>
          <w:i w:val="0"/>
        </w:rPr>
        <w:t>The constant-boost scenario is uniformly more optimistic (the boost does not wane with plasma levels), but every qualitative conclusion of the main text is preserved: the window closes between 4 and 12 h, and the measured gradients give higher protection at every start time.</w:t>
      </w:r>
    </w:p>
    <w:p>
      <w:pPr>
        <w:pStyle w:val="Heading1"/>
      </w:pPr>
      <w:r>
        <w:t>S2. Boost-magnitude sensitivity (M_max = 1, 2, 4)</w:t>
      </w:r>
    </w:p>
    <w:p>
      <w:r>
        <w:rPr>
          <w:b w:val="0"/>
          <w:i w:val="0"/>
        </w:rPr>
        <w:t>Protection at 4 h post-ingestion for NAC started at 0 h, under the protocol-driven input with the peak boost varied: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i w:val="0"/>
              </w:rPr>
              <w:t>Gradients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Dose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M_max = 1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M_max = 2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M_max = 4 (calibrated)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assumed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4 g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2%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2%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2%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assumed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16 g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2%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4 g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11%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14%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16%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16 g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9%</w:t>
            </w:r>
          </w:p>
        </w:tc>
      </w:tr>
    </w:tbl>
    <w:p>
      <w:r>
        <w:rPr>
          <w:b w:val="0"/>
          <w:i w:val="0"/>
        </w:rPr>
        <w:t>Under assumed gradients the 4-h window is closed at every M_max (the pericentral GSH pool is already exhausted before any synthesis boost can act); under measured gradients the residual protection scales with M_max. The assumed-versus-measured ordering is preserved at every magnitude.</w:t>
      </w:r>
    </w:p>
    <w:p>
      <w:pPr>
        <w:pStyle w:val="Heading1"/>
      </w:pPr>
      <w:r>
        <w:t>S3. Absorption-rate sensitivity</w:t>
      </w:r>
    </w:p>
    <w:p>
      <w:r>
        <w:rPr>
          <w:b w:val="0"/>
          <w:i w:val="0"/>
        </w:rPr>
        <w:t>Peak pericentral adducts (nmol) at fixed total dose 16 g, single vs staggered (4 × 4 g every 2 h) ingestion, across absorption rates: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i w:val="0"/>
              </w:rPr>
              <w:t>Gradients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ka (d⁻¹)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Staggered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Δ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assumed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3.458 × 10⁻²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3.391 × 10⁻²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−1.9%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assumed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3.484 × 10⁻²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3.414 × 10⁻²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−2.0%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assumed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3.490 × 10⁻²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3.419 × 10⁻²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−2.0%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3.425 × 10⁻²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3.299 × 10⁻²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−3.7%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3.466 × 10⁻²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3.331 × 10⁻²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−3.9%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3.477 × 10⁻²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3.338 × 10⁻²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−4.0%</w:t>
            </w:r>
          </w:p>
        </w:tc>
      </w:tr>
    </w:tbl>
    <w:p>
      <w:r>
        <w:rPr>
          <w:b w:val="0"/>
          <w:i w:val="0"/>
        </w:rPr>
        <w:t>ka = 17 d⁻¹ corresponds to an absorption half-life of ~1 h; 60 d⁻¹ to ~17 min. The ingestion-pattern conclusion (−2 to −4% at fixed total dose) is absorption-rate-robust.</w:t>
      </w:r>
    </w:p>
    <w:p>
      <w:pPr>
        <w:pStyle w:val="Heading1"/>
      </w:pPr>
      <w:r>
        <w:t>S4. Calibration trajectories</w:t>
      </w:r>
    </w:p>
    <w:p>
      <w:r>
        <w:rPr>
          <w:b w:val="0"/>
          <w:i w:val="0"/>
        </w:rPr>
        <w:t>The calibration criterion (pericentral GSH ≥ 50% of its pre-dose steady state by 12 h post-ingestion, at the 16 g dose with NAC started at 0 h) is met by M_max = 4 and above: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i w:val="0"/>
              </w:rPr>
              <w:t>M_max</w:t>
            </w:r>
          </w:p>
        </w:tc>
        <w:tc>
          <w:tcPr>
            <w:tcW w:type="dxa" w:w="2160"/>
          </w:tcPr>
          <w:p>
            <w:r>
              <w:rPr>
                <w:b/>
                <w:i w:val="0"/>
              </w:rPr>
              <w:t>Pericentral G(12 h) (nmol)</w:t>
            </w:r>
          </w:p>
        </w:tc>
        <w:tc>
          <w:tcPr>
            <w:tcW w:type="dxa" w:w="2160"/>
          </w:tcPr>
          <w:p>
            <w:r>
              <w:rPr>
                <w:b/>
                <w:i w:val="0"/>
              </w:rPr>
              <w:t>% of baseline (6.87 × 10⁻³)</w:t>
            </w:r>
          </w:p>
        </w:tc>
        <w:tc>
          <w:tcPr>
            <w:tcW w:type="dxa" w:w="2160"/>
          </w:tcPr>
          <w:p>
            <w:r>
              <w:rPr>
                <w:b/>
                <w:i w:val="0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recovers too slowly (fails at all early times)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6.63 × 10⁻⁴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9.6%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i w:val="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/>
                <w:i w:val="0"/>
              </w:rPr>
              <w:t>3.55 × 10⁻³</w:t>
            </w:r>
          </w:p>
        </w:tc>
        <w:tc>
          <w:tcPr>
            <w:tcW w:type="dxa" w:w="2160"/>
          </w:tcPr>
          <w:p>
            <w:r>
              <w:rPr>
                <w:b/>
                <w:i w:val="0"/>
              </w:rPr>
              <w:t>51.7%</w:t>
            </w:r>
          </w:p>
        </w:tc>
        <w:tc>
          <w:tcPr>
            <w:tcW w:type="dxa" w:w="2160"/>
          </w:tcPr>
          <w:p>
            <w:r>
              <w:rPr>
                <w:b/>
                <w:i w:val="0"/>
              </w:rPr>
              <w:t>calibrated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1.39 × 10⁻²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202.5%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passes (overshoots)</w:t>
            </w:r>
          </w:p>
        </w:tc>
      </w:tr>
    </w:tbl>
    <w:p>
      <w:r>
        <w:rPr>
          <w:b w:val="0"/>
          <w:i w:val="0"/>
        </w:rPr>
        <w:t>Full recovery trajectories are plotted in Fig. 3 of the main text and stored in `results/nac_calibration.npz` (repository).</w:t>
      </w:r>
    </w:p>
    <w:p>
      <w:pPr>
        <w:pStyle w:val="Heading1"/>
      </w:pPr>
      <w:r>
        <w:t>S5. Saturation scenario: full protection grid</w:t>
      </w:r>
    </w:p>
    <w:p>
      <w:r>
        <w:rPr>
          <w:b w:val="0"/>
          <w:i w:val="0"/>
        </w:rPr>
        <w:t>NAC protection (%) under saturable glucuronidation and oxidation, v = k·P/(1 + P/Km), Km = P0(16 g)/r. Peak pericentral adducts without NAC fall with saturation (e.g. 16 g measured: 3.484 × 10⁻² linear, 3.093 × 10⁻² at r = 1, 2.416 × 10⁻² at r = 3). Protection values at matched start times: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i w:val="0"/>
              </w:rPr>
              <w:t>Gradients</w:t>
            </w:r>
          </w:p>
        </w:tc>
        <w:tc>
          <w:tcPr>
            <w:tcW w:type="dxa" w:w="1440"/>
          </w:tcPr>
          <w:p>
            <w:r>
              <w:rPr>
                <w:b/>
                <w:i w:val="0"/>
              </w:rPr>
              <w:t>Dose</w:t>
            </w:r>
          </w:p>
        </w:tc>
        <w:tc>
          <w:tcPr>
            <w:tcW w:type="dxa" w:w="1440"/>
          </w:tcPr>
          <w:p>
            <w:r>
              <w:rPr>
                <w:b/>
                <w:i w:val="0"/>
              </w:rPr>
              <w:t>Kinetics</w:t>
            </w:r>
          </w:p>
        </w:tc>
        <w:tc>
          <w:tcPr>
            <w:tcW w:type="dxa" w:w="1440"/>
          </w:tcPr>
          <w:p>
            <w:r>
              <w:rPr>
                <w:b/>
                <w:i w:val="0"/>
              </w:rPr>
              <w:t>0 h</w:t>
            </w:r>
          </w:p>
        </w:tc>
        <w:tc>
          <w:tcPr>
            <w:tcW w:type="dxa" w:w="1440"/>
          </w:tcPr>
          <w:p>
            <w:r>
              <w:rPr>
                <w:b/>
                <w:i w:val="0"/>
              </w:rPr>
              <w:t>4 h</w:t>
            </w:r>
          </w:p>
        </w:tc>
        <w:tc>
          <w:tcPr>
            <w:tcW w:type="dxa" w:w="1440"/>
          </w:tcPr>
          <w:p>
            <w:r>
              <w:rPr>
                <w:b/>
                <w:i w:val="0"/>
              </w:rPr>
              <w:t>8 h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i w:val="0"/>
              </w:rPr>
              <w:t>assumed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4 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linear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i w:val="0"/>
              </w:rPr>
              <w:t>assumed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4 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r = 3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43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10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i w:val="0"/>
              </w:rPr>
              <w:t>assumed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4 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r = 1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87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i w:val="0"/>
              </w:rPr>
              <w:t>measured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4 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linear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83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7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i w:val="0"/>
              </w:rPr>
              <w:t>measured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4 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r = 3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84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68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i w:val="0"/>
              </w:rPr>
              <w:t>measured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4 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r = 1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87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69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i w:val="0"/>
              </w:rPr>
              <w:t>assumed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16 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linear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i w:val="0"/>
              </w:rPr>
              <w:t>assumed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16 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r = 3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86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63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i w:val="0"/>
              </w:rPr>
              <w:t>assumed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16 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r = 1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61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14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i w:val="0"/>
              </w:rPr>
              <w:t>measured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16 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linear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i w:val="0"/>
              </w:rPr>
              <w:t>measured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16 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r = 3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98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62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i w:val="0"/>
              </w:rPr>
              <w:t>measured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16 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r = 1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81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57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t>29</w:t>
            </w:r>
          </w:p>
        </w:tc>
      </w:tr>
    </w:tbl>
    <w:p>
      <w:r>
        <w:rPr>
          <w:b w:val="0"/>
          <w:i w:val="0"/>
        </w:rPr>
        <w:t>The assumed-versus-measured ordering is preserved at every saturation level, and saturation strengthens NAC efficacy at overdose (capped NAPQI formation lets treatment-supported synthesis keep pace).</w:t>
      </w:r>
    </w:p>
    <w:p>
      <w:pPr>
        <w:pStyle w:val="Heading1"/>
      </w:pPr>
      <w:r>
        <w:t>S6. Reproducibility</w:t>
      </w:r>
    </w:p>
    <w:p>
      <w:r>
        <w:rPr>
          <w:b w:val="0"/>
          <w:i w:val="0"/>
        </w:rPr>
        <w:t>All results are reproducible from the repository code: `nac_staggered.py` (window and ingestion experiments), `nac_pk_calibration.py` (PK-driven calibration and window), `sensitivity_paper2.py` (M, ka and saturation sweeps), `make_figures.py` (figures from the saved npz files). Integrations use a stiff Radau solver (rtol 10⁻⁵, atol 10⁻⁸, max step 0.02 d); results are unchanged at tighter tolerances.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