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Post-LDLT Hepatic Arterial Trajectory: A Model With and Without HABR</w:t>
      </w:r>
    </w:p>
    <w:p>
      <w:r>
        <w:t>This note develops and compares two versions of the post-LDLT hepatic circulation model built on the validated pi-filter baseline (see Healthy_Paediatric_Hepatic_Circulation_Baseline_Model.docx): one with the literature hepatic arterial buffer response (HABR) feedback active, and one without it (a null model). Both are compared against this project's real serial-Doppler cohort, Chen et al. 2022 (Front. Bioeng. Biotechnol., doi:10.3389/fbioe.2022.903385), n=41 paediatric LDLT recipients, biliary atresia, ages 4-18 months.</w:t>
      </w:r>
    </w:p>
    <w:p>
      <w:pPr>
        <w:pStyle w:val="Heading2"/>
      </w:pPr>
      <w:r>
        <w:t>1. Model</w:t>
      </w:r>
    </w:p>
    <w:p>
      <w:r>
        <w:t>Base circuit: the validated generic pi-filter model (Rs_PV, Rs_HV, Rp_hv_out, and all L/C shape parameters reused, not re-fit). Two adaptations for the post-LDLT setting:</w:t>
      </w:r>
    </w:p>
    <w:p>
      <w:pPr>
        <w:pStyle w:val="ListBullet"/>
      </w:pPr>
      <w:r>
        <w:t>Portal inflow Q_PV(t) is a prescribed input (justified by the generic model's own result that PV flow is under 0.2% pulsatile -- already quasi-static), computed directly from this cohort's REAL portal vein diameter and velocity via Chen et al.'s own formula, PVF = pi*r^2*0.57*PVV*60 (mL/min/100g). Diameter is only reported at pre-transplant (0.44 cm) and POD1 (0.46 cm); POD7/14/30 use the POD1 value, justified by checking that across the (larger) pre-op-&gt;POD1 transition, velocity change (+82.5%) dominates area change (+9.3%), reproducing the reported flow change (+97.9%) almost exactly.</w:t>
      </w:r>
    </w:p>
    <w:p>
      <w:pPr>
        <w:pStyle w:val="ListBullet"/>
      </w:pPr>
      <w:r>
        <w:t>The HA branch's resistance (Rs_HA) and inertance (L_HA) are calibrated ONCE, at POD1, against this cohort's own real measured PSV_HA (53.10 cm/s) and RI_HA (0.61) -- the HA pulse amplitude is held fixed at a real literature value (15.1 mmHg) throughout. This is the only fitting step in the HABR-on model.</w:t>
      </w:r>
    </w:p>
    <w:p>
      <w:r>
        <w:t>For POD7/14/30, the two model versions diverge:</w:t>
      </w:r>
    </w:p>
    <w:p>
      <w:pPr>
        <w:pStyle w:val="ListBullet"/>
      </w:pPr>
      <w:r>
        <w:rPr>
          <w:b/>
        </w:rPr>
        <w:t xml:space="preserve">HABR ON: </w:t>
      </w:r>
      <w:r>
        <w:t>Rs_HA at each time point is set so the model's mean HA flow matches exactly what the parameter-free Yu/Bartlett/Hunter/Ho HABR quadratic (changeIha = 0.0007102*x^2 + 0.5492*x, x = percent decrease in portal flow from POD1) predicts, given only the real measured portal-flow change at that time point. PSV_HA and RI_HA are the model's output, not fit.</w:t>
      </w:r>
    </w:p>
    <w:p>
      <w:pPr>
        <w:pStyle w:val="ListBullet"/>
      </w:pPr>
      <w:r>
        <w:rPr>
          <w:b/>
        </w:rPr>
        <w:t xml:space="preserve">HABR OFF (null): </w:t>
      </w:r>
      <w:r>
        <w:t>Rs_HA is frozen at its POD1-fitted value; only the Q_PV(t) input to the shared sinusoidal node changes. This isolates what the circuit's own passive coupling (with no active arterial feedback at all) would predict on its own.</w:t>
      </w:r>
    </w:p>
    <w:p>
      <w:pPr>
        <w:pStyle w:val="Heading2"/>
      </w:pPr>
      <w:r>
        <w:t>2.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6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BR_Figure_1_with_withou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Measured (Chen et al. 2022, mean +/- SD) vs. model with HABR on vs. model with HABR off, for hepatic artery PSV (a) and RI (b).</w:t>
      </w:r>
    </w:p>
    <w:p>
      <w:r>
        <w:t>The null model (HABR off) predicts HA flow/PSV would actually drift slightly UPWARD as portal velocity falls across POD1-30 (less downstream loading on the shared sinusoidal node) -- the opposite of what is observed. Adding HABR feedback correctly flips this to the observed downward direction for both PSV_HA and RI_HA, but accounts for only part of the measured magnitude.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25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BR_Figure_2_fraction_expla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Fraction of the measured PSV_HA decline (from its POD1 value) reproduced by the parameter-free HABR model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PSV meas.</w:t>
            </w:r>
          </w:p>
        </w:tc>
        <w:tc>
          <w:tcPr>
            <w:tcW w:type="dxa" w:w="1728"/>
          </w:tcPr>
          <w:p>
            <w:r>
              <w:t>PSV HABR-on</w:t>
            </w:r>
          </w:p>
        </w:tc>
        <w:tc>
          <w:tcPr>
            <w:tcW w:type="dxa" w:w="1728"/>
          </w:tcPr>
          <w:p>
            <w:r>
              <w:t>PSV HABR-off</w:t>
            </w:r>
          </w:p>
        </w:tc>
        <w:tc>
          <w:tcPr>
            <w:tcW w:type="dxa" w:w="1728"/>
          </w:tcPr>
          <w:p>
            <w:r>
              <w:t>% of decline by HABR</w:t>
            </w:r>
          </w:p>
        </w:tc>
      </w:tr>
      <w:tr>
        <w:tc>
          <w:tcPr>
            <w:tcW w:type="dxa" w:w="1728"/>
          </w:tcPr>
          <w:p>
            <w:r>
              <w:t>POD7</w:t>
            </w:r>
          </w:p>
        </w:tc>
        <w:tc>
          <w:tcPr>
            <w:tcW w:type="dxa" w:w="1728"/>
          </w:tcPr>
          <w:p>
            <w:r>
              <w:t>47.02</w:t>
            </w:r>
          </w:p>
        </w:tc>
        <w:tc>
          <w:tcPr>
            <w:tcW w:type="dxa" w:w="1728"/>
          </w:tcPr>
          <w:p>
            <w:r>
              <w:t>52.29</w:t>
            </w:r>
          </w:p>
        </w:tc>
        <w:tc>
          <w:tcPr>
            <w:tcW w:type="dxa" w:w="1728"/>
          </w:tcPr>
          <w:p>
            <w:r>
              <w:t>53.13</w:t>
            </w:r>
          </w:p>
        </w:tc>
        <w:tc>
          <w:tcPr>
            <w:tcW w:type="dxa" w:w="1728"/>
          </w:tcPr>
          <w:p>
            <w:r>
              <w:t>13.4%</w:t>
            </w:r>
          </w:p>
        </w:tc>
      </w:tr>
      <w:tr>
        <w:tc>
          <w:tcPr>
            <w:tcW w:type="dxa" w:w="1728"/>
          </w:tcPr>
          <w:p>
            <w:r>
              <w:t>POD14</w:t>
            </w:r>
          </w:p>
        </w:tc>
        <w:tc>
          <w:tcPr>
            <w:tcW w:type="dxa" w:w="1728"/>
          </w:tcPr>
          <w:p>
            <w:r>
              <w:t>42.29</w:t>
            </w:r>
          </w:p>
        </w:tc>
        <w:tc>
          <w:tcPr>
            <w:tcW w:type="dxa" w:w="1728"/>
          </w:tcPr>
          <w:p>
            <w:r>
              <w:t>50.48</w:t>
            </w:r>
          </w:p>
        </w:tc>
        <w:tc>
          <w:tcPr>
            <w:tcW w:type="dxa" w:w="1728"/>
          </w:tcPr>
          <w:p>
            <w:r>
              <w:t>53.20</w:t>
            </w:r>
          </w:p>
        </w:tc>
        <w:tc>
          <w:tcPr>
            <w:tcW w:type="dxa" w:w="1728"/>
          </w:tcPr>
          <w:p>
            <w:r>
              <w:t>24.3%</w:t>
            </w:r>
          </w:p>
        </w:tc>
      </w:tr>
      <w:tr>
        <w:tc>
          <w:tcPr>
            <w:tcW w:type="dxa" w:w="1728"/>
          </w:tcPr>
          <w:p>
            <w:r>
              <w:t>POD30</w:t>
            </w:r>
          </w:p>
        </w:tc>
        <w:tc>
          <w:tcPr>
            <w:tcW w:type="dxa" w:w="1728"/>
          </w:tcPr>
          <w:p>
            <w:r>
              <w:t>38.51</w:t>
            </w:r>
          </w:p>
        </w:tc>
        <w:tc>
          <w:tcPr>
            <w:tcW w:type="dxa" w:w="1728"/>
          </w:tcPr>
          <w:p>
            <w:r>
              <w:t>48.63</w:t>
            </w:r>
          </w:p>
        </w:tc>
        <w:tc>
          <w:tcPr>
            <w:tcW w:type="dxa" w:w="1728"/>
          </w:tcPr>
          <w:p>
            <w:r>
              <w:t>53.27</w:t>
            </w:r>
          </w:p>
        </w:tc>
        <w:tc>
          <w:tcPr>
            <w:tcW w:type="dxa" w:w="1728"/>
          </w:tcPr>
          <w:p>
            <w:r>
              <w:t>30.6%</w:t>
            </w:r>
          </w:p>
        </w:tc>
      </w:tr>
    </w:tbl>
    <w:p>
      <w:pPr>
        <w:pStyle w:val="Heading2"/>
      </w:pPr>
      <w:r>
        <w:t>3. Correction: HABR is acute, not continuously re-applied</w:t>
      </w:r>
    </w:p>
    <w:p>
      <w:r>
        <w:t>HABR is an acute (adenosine-washout, minutes-to-hours) mechanism. By POD30 it should have long ceased actively adjusting, and hepatic circulation should already be stable -- the model above instead re-applies the HABR quadratic at every time point relative to POD1, implicitly treating it as continuously active for the whole month, which is not appropriate for an acute mechanism.</w:t>
      </w:r>
    </w:p>
    <w:p>
      <w:r>
        <w:t>The real data directly supports this correction: RI_HA is already flat (0.59, 0.59, 0.59) from POD7 through POD30, while PSV_HA keeps declining. Since RI is the ratio most sensitive to a resistance change, its flatness after POD7 means whatever resistance adjustment HABR was going to make had already happened by POD7. The model above's own simulated RI kept drifting (0.610 -&gt; 0.607 -&gt; 0.601 -&gt; 0.595) instead of plateauing -- itself evidence it was over-crediting HABR for what is, beyond POD7, a resistance-flat decline.</w:t>
      </w:r>
    </w:p>
    <w:p>
      <w:r>
        <w:t>Corrected model: the HABR quadratic is applied ONCE, across POD1-&gt;POD7 (the one window with both a real portal-flow change and a real RI change -- the legitimate acute-response window). Rs_HA is then frozen at its POD7-consistent value for POD14/POD30; Q_PV(t) still updates to each time point's real measured value, so the circuit's own passive coupling through the shared sinusoidal node remains active -- isolating "HABR already finished, only passive downstream coupling remains" from "HABR still actively adjusting."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6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BR_Figure_3_acute_corr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Measured vs. the old continuously-reapplied-HABR model vs. the corrected acute-then-frozen model vs. the pure null model. The corrected model's RI (panel b) plateaus after POD7, unlike the old model, matching the real data's qualitative shape far better.</w:t>
      </w:r>
    </w:p>
    <w:p>
      <w:r>
        <w:t>Result: HABR still explains 13.4% of the POD7 decline (unchanged, since POD7 is its legitimate window), but only 6.9% and 4.7% of the (larger) POD14 and POD30 declines respectively -- essentially none of the decline BEYOND POD7 is attributable to HABR. That remainder (93-95% of the additional POD7-&gt;POD30 decline) is 100% non-HABR in this corrected framing, not partially HABR-credited as in the model above.</w:t>
      </w:r>
    </w:p>
    <w:p>
      <w:pPr>
        <w:pStyle w:val="Heading2"/>
      </w:pPr>
      <w:r>
        <w:t>4. Honest interpretation</w:t>
      </w:r>
    </w:p>
    <w:p>
      <w:r>
        <w:t>A parameter-free, literature-anchored HABR relationship, applied only over its legitimate acute window (POD1-7), is directionally necessary (the null model gets the direction wrong) but explains only a modest share of the total decline (13% at POD7) and essentially none of the further decline from POD7 to POD30. That later, larger portion of the decline (8.51 of the cohort's 14.59 cm/s total POD1-&gt;POD30 drop) must be a non-HABR, non-resistance (pure amplitude/scale) effect, since it occurs while RI stays flat. A literature search (model_plan_and_literature_data.md Section 10) identified two real, independently plausible candidate mechanisms of exactly this kind -- postoperative hyperdynamic-circulation/pressure normalization (Plevak et al. 1993) and graft-regeneration-driven dilution of velocity at a fixed measurement point as the graft's vasculature enlarges with its rapid mass growth (Byun et al. 2016, doi:10.1097/MD.0000000000005404) -- either of which is independently large enough in magnitude to plausibly explain most of this residual. This project's data (group-level PSV/RI/PVV only, no serial vessel-diameter measurements beyond POD1) cannot distinguish between them, or a blend of both, or an unidentified third mechanism -- reported here as a genuine, unresolved question rather than resolved by picking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