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Reviewer, Round 1</w:t>
      </w:r>
    </w:p>
    <w:p>
      <w:r>
        <w:t>We thank the reviewer for a detailed, substantive critique. Every point below prompted a genuine change to the analysis or model, not only wording -- in two cases (points 1 and 8) the requested check surfaced a real problem we had not previously tested.</w:t>
      </w:r>
    </w:p>
    <w:p>
      <w:pPr>
        <w:pStyle w:val="Heading3"/>
      </w:pPr>
      <w:r>
        <w:t>1. Acute-then-frozen mislabelled as 'corrected'</w:t>
      </w:r>
    </w:p>
    <w:p>
      <w:r>
        <w:t>Agreed and changed. HABR's fast kinetics describe a continuously-coupled feedback (adenosine washout responds to whatever portal flow currently is), not a one-off event -- this does not, by itself, justify freezing resistance after POD7. The manuscript now presents three scenarios (continuous / acute-then-frozen / null) symmetrically, with the acute-then-frozen scenario explicitly described as motivated by an observation (RI flatness), not physiologically proven (new Methods 2.5, citing Eipel, Abshagen and Vollmar 2010 on HABR's continuous-coupling nature).</w:t>
      </w:r>
    </w:p>
    <w:p>
      <w:pPr>
        <w:pStyle w:val="Heading3"/>
      </w:pPr>
      <w:r>
        <w:t>2. Flat RI does not prove resistance adaptation ended</w:t>
      </w:r>
    </w:p>
    <w:p>
      <w:r>
        <w:t>Agreed. We ran a Welch's t-test on the published summary statistics (new Methods 2.6 / Results 3.3): the 95% CI on the POD7-vs-POD30 RI difference is [-0.010, +0.010], which cannot exclude a true change as large as the real, independently-observed POD1-to-POD7 change. 'RI is flat' is now reported as 'not detectably changing' with this explicit caveat, not as proof the resistance-driven component is complete.</w:t>
      </w:r>
    </w:p>
    <w:p>
      <w:pPr>
        <w:pStyle w:val="Heading3"/>
      </w:pPr>
      <w:r>
        <w:t>3. Flow-to-velocity mapping insufficiently specified</w:t>
      </w:r>
    </w:p>
    <w:p>
      <w:r>
        <w:t>Added new Methods 2.2 (explicit governing ODEs, all five state variables and every parameter named) and 2.2.1, which states plainly that no hepatic-artery cross-sectional area is used or assumed anywhere -- Q_HA is a directly-calibrated proxy for Doppler velocity, calibrated at POD1 against real PSV_HA/RI_HA. PSV/EDV/RI extraction formulas are given explicitly. A full parameter table (new Table 3) lists every value, unit, and source.</w:t>
      </w:r>
    </w:p>
    <w:p>
      <w:pPr>
        <w:pStyle w:val="Heading3"/>
      </w:pPr>
      <w:r>
        <w:t>4. 'Validated' overstates calibration by construction</w:t>
      </w:r>
    </w:p>
    <w:p>
      <w:r>
        <w:t>Changed throughout: 'validated' -&gt; 'calibrated'; Figure 3's caption now says 'calibration targets'; Methods 2.2 states explicitly that the resistances were solved exactly (not fit approximately) from the same targets being compared against, so agreement is close by construction, not independent validation.</w:t>
      </w:r>
    </w:p>
    <w:p>
      <w:pPr>
        <w:pStyle w:val="Heading3"/>
      </w:pPr>
      <w:r>
        <w:t>5. 'Parameter-free HABR' is misleading</w:t>
      </w:r>
    </w:p>
    <w:p>
      <w:r>
        <w:t>Changed throughout to 'fixed-coefficient HABR relationship (coefficients imported, not re-fit to POD7-30 data)', with an explicit list (Methods 2.3) of what IS calibrated or assumed elsewhere in the model (Rs_HA, L_HA, pressure amplitude, portal diameter).</w:t>
      </w:r>
    </w:p>
    <w:p>
      <w:pPr>
        <w:pStyle w:val="Heading3"/>
      </w:pPr>
      <w:r>
        <w:t>6. False precision on percentages</w:t>
      </w:r>
    </w:p>
    <w:p>
      <w:r>
        <w:t>Added new Methods 2.7 / Results 3.4: Monte Carlo propagation of the compared means' sampling uncertainty (SEM, n=41) gives 95% intervals alongside each point estimate. These are wide -- e.g. the POD7 continuous-scenario estimate is 13% but the interval is [6%, 77%] -- and the text now says so explicitly rather than reporting single-decimal percentages as if precise.</w:t>
      </w:r>
    </w:p>
    <w:p>
      <w:pPr>
        <w:pStyle w:val="Heading3"/>
      </w:pPr>
      <w:r>
        <w:t>7. Portal-flow formula units unresolved</w:t>
      </w:r>
    </w:p>
    <w:p>
      <w:r>
        <w:t>Addressed directly in new Methods 2.4: the formula as given by Chen et al. and reproduced here yields mL/min, not mL/min/100g as labelled -- no graft-mass term appears in it. Graft weight was not available to us. We state this is inherited from the source paper's own presentation, not resolved by us, and flag the consequence: Q_HA (Doppler-calibrated) and Q_PV (this formula) are summed directly in the model with no demonstrated common physical basis. This is now an explicit limitation, not a hidden issue.</w:t>
      </w:r>
    </w:p>
    <w:p>
      <w:pPr>
        <w:pStyle w:val="Heading3"/>
      </w:pPr>
      <w:r>
        <w:t>8. Constant POD1 diameter not sensitivity-tested</w:t>
      </w:r>
    </w:p>
    <w:p>
      <w:r>
        <w:t>This is the most consequential finding of the revision. New Methods 2.8 / Results 3.5: we swept assumed portal-diameter growth by POD30 from 0-40%. At just 10% growth, the headline '% of decline explained by HABR' result REVERSES SIGN (+31% to -11%). This is now presented as the central caveat on the whole quantitative analysis (new Figure 7), not a minor sensitivity footnote -- it shows the reported percentages are conditional on an assumption the data cannot verify and is not even directionally safe.</w:t>
      </w:r>
    </w:p>
    <w:p>
      <w:pPr>
        <w:pStyle w:val="Heading3"/>
      </w:pPr>
      <w:r>
        <w:t>9. Graft dilution presented as favoured rather than a hypothesis</w:t>
      </w:r>
    </w:p>
    <w:p>
      <w:r>
        <w:t>Reworded throughout (Results 3.6, Discussion, Conclusion, Abstract): now explicitly 'a testable hypothesis,' with the timing argument (fast normalization vs. slower regeneration) labelled as 'a plausible basis for a hypothesis,' not a conclusion. Results 3.5's sensitivity finding is cross-referenced here specifically to show the data cannot adjudicate between candidate mechanisms quantitatively.</w:t>
      </w:r>
    </w:p>
    <w:p>
      <w:pPr>
        <w:pStyle w:val="Heading3"/>
      </w:pPr>
      <w:r>
        <w:t>10. Competing-mechanism list incomplete</w:t>
      </w:r>
    </w:p>
    <w:p>
      <w:r>
        <w:t>Expanded (Results 3.6): added systemic cardiac output/pressure-amplitude changes beyond the fixed assumption, postoperative oedema, arterial spasm, anastomotic geometry, Doppler insonation angle/sampling-location variation, sedation, and heart rate, with an explicit statement that none of these were assessed and the study does not claim to have enumerated or excluded them.</w:t>
      </w:r>
    </w:p>
    <w:p>
      <w:pPr>
        <w:pStyle w:val="Heading3"/>
      </w:pPr>
      <w:r>
        <w:t>Editorial notes</w:t>
      </w:r>
    </w:p>
    <w:p>
      <w:r>
        <w:t>Abstract and Discussion shortened and de-duplicated. Every equation symbol and unit is now defined (Methods 2.2, 2.2.1, Table 3). Code availability wording softened from a flat 'on request' to note intent to establish a public repository in a future revision, matching this session's practice on the two other projects. We searched for published alternatives to the two unpublished-manuscript citations and did not find an equivalent real paediatric LLS-LDLT pressure/flow dataset; this dependency is now stated plainly as a limitation rather than left implicit. Figure renumbering: the pre-existing Figures 4-6 (measured vs. scenario comparisons) are retained under the new symmetric framing; a new Figure 7 (diameter sensitivity) was added.</w:t>
      </w:r>
    </w:p>
    <w:p>
      <w:r>
        <w:t>We were unable to complete full page-render QA in this pass beyond what our own Word-COM-to-PDF-to-image pipeline could check (all 15 pages, 7 figures, 3 tables rendered correctly in that check); we note the reviewer's own comment that their layout assessment was based on document structure and extracted figures rather than a full render, and would welcome a rendered check if the reviewer's environment allows it in a subsequent 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